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12799">
      <w:pPr>
        <w:kinsoku w:val="0"/>
        <w:overflowPunct w:val="0"/>
        <w:autoSpaceDE/>
        <w:autoSpaceDN/>
        <w:adjustRightInd/>
        <w:spacing w:line="264" w:lineRule="exact"/>
        <w:jc w:val="center"/>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RESOLUCION No. TAT-2396-2014</w:t>
      </w:r>
    </w:p>
    <w:p w:rsidR="00000000" w:rsidRDefault="00712799">
      <w:pPr>
        <w:kinsoku w:val="0"/>
        <w:overflowPunct w:val="0"/>
        <w:autoSpaceDE/>
        <w:autoSpaceDN/>
        <w:adjustRightInd/>
        <w:spacing w:before="641" w:line="318" w:lineRule="exact"/>
        <w:ind w:right="576"/>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TRIBUNAL ADMINISTRATIVO DE TRANSPORTE. </w:t>
      </w:r>
      <w:r>
        <w:rPr>
          <w:rFonts w:ascii="Verdana" w:hAnsi="Verdana" w:cs="Verdana"/>
          <w:spacing w:val="1"/>
          <w:sz w:val="22"/>
          <w:szCs w:val="22"/>
          <w:lang w:val="es-ES" w:eastAsia="es-ES"/>
        </w:rPr>
        <w:t>San José</w:t>
      </w:r>
      <w:r>
        <w:rPr>
          <w:rFonts w:ascii="Verdana" w:hAnsi="Verdana" w:cs="Verdana"/>
          <w:spacing w:val="1"/>
          <w:sz w:val="22"/>
          <w:szCs w:val="22"/>
          <w:lang w:val="es-ES" w:eastAsia="es-ES"/>
        </w:rPr>
        <w:t>, a las diez horas nueve minutos del veinticinco de noviembre de dos mil catorce.</w:t>
      </w:r>
    </w:p>
    <w:p w:rsidR="00000000" w:rsidRDefault="00712799">
      <w:pPr>
        <w:kinsoku w:val="0"/>
        <w:overflowPunct w:val="0"/>
        <w:autoSpaceDE/>
        <w:autoSpaceDN/>
        <w:adjustRightInd/>
        <w:spacing w:before="312" w:line="318" w:lineRule="exact"/>
        <w:ind w:right="576"/>
        <w:jc w:val="both"/>
        <w:textAlignment w:val="baseline"/>
        <w:rPr>
          <w:rFonts w:ascii="Verdana" w:hAnsi="Verdana" w:cs="Verdana"/>
          <w:b/>
          <w:bCs/>
          <w:spacing w:val="-2"/>
          <w:sz w:val="22"/>
          <w:szCs w:val="22"/>
          <w:lang w:val="es-ES" w:eastAsia="es-ES"/>
        </w:rPr>
      </w:pPr>
      <w:r>
        <w:rPr>
          <w:rFonts w:ascii="Verdana" w:hAnsi="Verdana" w:cs="Verdana"/>
          <w:spacing w:val="-2"/>
          <w:sz w:val="22"/>
          <w:szCs w:val="22"/>
          <w:lang w:val="es-ES" w:eastAsia="es-ES"/>
        </w:rPr>
        <w:t xml:space="preserve">Recurso de Apelación en subsidio, interpuesto por la empresa </w:t>
      </w:r>
      <w:r>
        <w:rPr>
          <w:rFonts w:ascii="Verdana" w:hAnsi="Verdana" w:cs="Verdana"/>
          <w:b/>
          <w:bCs/>
          <w:spacing w:val="-2"/>
          <w:sz w:val="22"/>
          <w:szCs w:val="22"/>
          <w:lang w:val="es-ES" w:eastAsia="es-ES"/>
        </w:rPr>
        <w:t>C</w:t>
      </w:r>
      <w:r w:rsidR="00727691">
        <w:rPr>
          <w:rFonts w:ascii="Verdana" w:hAnsi="Verdana" w:cs="Verdana"/>
          <w:b/>
          <w:bCs/>
          <w:spacing w:val="-2"/>
          <w:sz w:val="22"/>
          <w:szCs w:val="22"/>
          <w:lang w:val="es-ES" w:eastAsia="es-ES"/>
        </w:rPr>
        <w:t>.T.S.R.A.</w:t>
      </w:r>
      <w:r>
        <w:rPr>
          <w:rFonts w:ascii="Verdana" w:hAnsi="Verdana" w:cs="Verdana"/>
          <w:b/>
          <w:bCs/>
          <w:spacing w:val="-2"/>
          <w:sz w:val="22"/>
          <w:szCs w:val="22"/>
          <w:lang w:val="es-ES" w:eastAsia="es-ES"/>
        </w:rPr>
        <w:t xml:space="preserve">S.A., </w:t>
      </w:r>
      <w:r>
        <w:rPr>
          <w:rFonts w:ascii="Verdana" w:hAnsi="Verdana" w:cs="Verdana"/>
          <w:spacing w:val="-2"/>
          <w:sz w:val="22"/>
          <w:szCs w:val="22"/>
          <w:lang w:val="es-ES" w:eastAsia="es-ES"/>
        </w:rPr>
        <w:t xml:space="preserve">cédula jurídica </w:t>
      </w:r>
      <w:proofErr w:type="gramStart"/>
      <w:r>
        <w:rPr>
          <w:rFonts w:ascii="Verdana" w:hAnsi="Verdana" w:cs="Verdana"/>
          <w:spacing w:val="-2"/>
          <w:sz w:val="22"/>
          <w:szCs w:val="22"/>
          <w:lang w:val="es-ES" w:eastAsia="es-ES"/>
        </w:rPr>
        <w:t xml:space="preserve">número </w:t>
      </w:r>
      <w:r w:rsidR="00727691">
        <w:rPr>
          <w:rFonts w:ascii="Verdana" w:hAnsi="Verdana" w:cs="Verdana"/>
          <w:spacing w:val="-2"/>
          <w:sz w:val="22"/>
          <w:szCs w:val="22"/>
          <w:lang w:val="es-ES" w:eastAsia="es-ES"/>
        </w:rPr>
        <w:t>…</w:t>
      </w:r>
      <w:proofErr w:type="gramEnd"/>
      <w:r>
        <w:rPr>
          <w:rFonts w:ascii="Verdana" w:hAnsi="Verdana" w:cs="Verdana"/>
          <w:spacing w:val="-2"/>
          <w:sz w:val="22"/>
          <w:szCs w:val="22"/>
          <w:lang w:val="es-ES" w:eastAsia="es-ES"/>
        </w:rPr>
        <w:t>, por medio de su Apoderado Genera</w:t>
      </w:r>
      <w:r>
        <w:rPr>
          <w:rFonts w:ascii="Verdana" w:hAnsi="Verdana" w:cs="Verdana"/>
          <w:spacing w:val="-2"/>
          <w:sz w:val="22"/>
          <w:szCs w:val="22"/>
          <w:lang w:val="es-ES" w:eastAsia="es-ES"/>
        </w:rPr>
        <w:t xml:space="preserve">lísimo sin Límite de Suma señor </w:t>
      </w:r>
      <w:r>
        <w:rPr>
          <w:rFonts w:ascii="Verdana" w:hAnsi="Verdana" w:cs="Verdana"/>
          <w:b/>
          <w:bCs/>
          <w:spacing w:val="-2"/>
          <w:sz w:val="22"/>
          <w:szCs w:val="22"/>
          <w:lang w:val="es-ES" w:eastAsia="es-ES"/>
        </w:rPr>
        <w:t>V</w:t>
      </w:r>
      <w:r w:rsidR="00727691">
        <w:rPr>
          <w:rFonts w:ascii="Verdana" w:hAnsi="Verdana" w:cs="Verdana"/>
          <w:b/>
          <w:bCs/>
          <w:spacing w:val="-2"/>
          <w:sz w:val="22"/>
          <w:szCs w:val="22"/>
          <w:lang w:val="es-ES" w:eastAsia="es-ES"/>
        </w:rPr>
        <w:t>.M.H.V.</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cédula de identidad </w:t>
      </w:r>
      <w:r w:rsidR="00727691">
        <w:rPr>
          <w:rFonts w:ascii="Verdana" w:hAnsi="Verdana" w:cs="Verdana"/>
          <w:spacing w:val="-2"/>
          <w:sz w:val="22"/>
          <w:szCs w:val="22"/>
          <w:lang w:val="es-ES" w:eastAsia="es-ES"/>
        </w:rPr>
        <w:t>…</w:t>
      </w:r>
      <w:r>
        <w:rPr>
          <w:rFonts w:ascii="Verdana" w:hAnsi="Verdana" w:cs="Verdana"/>
          <w:spacing w:val="-2"/>
          <w:sz w:val="22"/>
          <w:szCs w:val="22"/>
          <w:lang w:val="es-ES" w:eastAsia="es-ES"/>
        </w:rPr>
        <w:t xml:space="preserve">, en contra del </w:t>
      </w:r>
      <w:r>
        <w:rPr>
          <w:rFonts w:ascii="Verdana" w:hAnsi="Verdana" w:cs="Verdana"/>
          <w:b/>
          <w:bCs/>
          <w:spacing w:val="-2"/>
          <w:sz w:val="22"/>
          <w:szCs w:val="22"/>
          <w:lang w:val="es-ES" w:eastAsia="es-ES"/>
        </w:rPr>
        <w:t xml:space="preserve">Artículo 7.1 de la Sesión Ordinaria N. 49-2013 </w:t>
      </w:r>
      <w:r w:rsidR="00727691">
        <w:rPr>
          <w:rFonts w:ascii="Verdana" w:hAnsi="Verdana" w:cs="Verdana"/>
          <w:spacing w:val="-2"/>
          <w:sz w:val="22"/>
          <w:szCs w:val="22"/>
          <w:lang w:val="es-ES" w:eastAsia="es-ES"/>
        </w:rPr>
        <w:t>de 18 de julio de 2013, dicta</w:t>
      </w:r>
      <w:r>
        <w:rPr>
          <w:rFonts w:ascii="Verdana" w:hAnsi="Verdana" w:cs="Verdana"/>
          <w:spacing w:val="-2"/>
          <w:sz w:val="22"/>
          <w:szCs w:val="22"/>
          <w:lang w:val="es-ES" w:eastAsia="es-ES"/>
        </w:rPr>
        <w:t xml:space="preserve">do por la JUNTA DIRECTIVA DEL CONSEJO DE TRANSPORTE PÚBLICO. </w:t>
      </w:r>
      <w:r>
        <w:rPr>
          <w:rFonts w:ascii="Verdana" w:hAnsi="Verdana" w:cs="Verdana"/>
          <w:b/>
          <w:bCs/>
          <w:spacing w:val="-2"/>
          <w:sz w:val="22"/>
          <w:szCs w:val="22"/>
          <w:lang w:val="es-ES" w:eastAsia="es-ES"/>
        </w:rPr>
        <w:t xml:space="preserve">El caso </w:t>
      </w:r>
      <w:r>
        <w:rPr>
          <w:rFonts w:ascii="Verdana" w:hAnsi="Verdana" w:cs="Verdana"/>
          <w:b/>
          <w:bCs/>
          <w:spacing w:val="-2"/>
          <w:sz w:val="22"/>
          <w:szCs w:val="22"/>
          <w:lang w:val="es-ES" w:eastAsia="es-ES"/>
        </w:rPr>
        <w:t>se tramita en Expediente Administrativo N. TAT-191-14.</w:t>
      </w:r>
    </w:p>
    <w:p w:rsidR="00000000" w:rsidRDefault="00712799">
      <w:pPr>
        <w:kinsoku w:val="0"/>
        <w:overflowPunct w:val="0"/>
        <w:autoSpaceDE/>
        <w:autoSpaceDN/>
        <w:adjustRightInd/>
        <w:spacing w:before="993" w:line="264"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RESULTANDO</w:t>
      </w:r>
    </w:p>
    <w:p w:rsidR="00000000" w:rsidRDefault="00712799">
      <w:pPr>
        <w:kinsoku w:val="0"/>
        <w:overflowPunct w:val="0"/>
        <w:autoSpaceDE/>
        <w:autoSpaceDN/>
        <w:adjustRightInd/>
        <w:spacing w:before="374" w:line="274" w:lineRule="exact"/>
        <w:ind w:right="576"/>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PRIMERO: </w:t>
      </w:r>
      <w:r>
        <w:rPr>
          <w:rFonts w:ascii="Verdana" w:hAnsi="Verdana" w:cs="Verdana"/>
          <w:spacing w:val="2"/>
          <w:sz w:val="22"/>
          <w:szCs w:val="22"/>
          <w:lang w:val="es-ES" w:eastAsia="es-ES"/>
        </w:rPr>
        <w:t xml:space="preserve">Mediante </w:t>
      </w:r>
      <w:r w:rsidR="00727691">
        <w:rPr>
          <w:rFonts w:ascii="Verdana" w:hAnsi="Verdana" w:cs="Verdana"/>
          <w:b/>
          <w:bCs/>
          <w:spacing w:val="2"/>
          <w:sz w:val="22"/>
          <w:szCs w:val="22"/>
          <w:lang w:val="es-ES" w:eastAsia="es-ES"/>
        </w:rPr>
        <w:t>Artículo</w:t>
      </w:r>
      <w:r>
        <w:rPr>
          <w:rFonts w:ascii="Verdana" w:hAnsi="Verdana" w:cs="Verdana"/>
          <w:b/>
          <w:bCs/>
          <w:spacing w:val="2"/>
          <w:sz w:val="22"/>
          <w:szCs w:val="22"/>
          <w:lang w:val="es-ES" w:eastAsia="es-ES"/>
        </w:rPr>
        <w:t xml:space="preserve"> 7.1 de la Sesión Ordinaria N. 49</w:t>
      </w:r>
      <w:r>
        <w:rPr>
          <w:rFonts w:ascii="Verdana" w:hAnsi="Verdana" w:cs="Verdana"/>
          <w:b/>
          <w:bCs/>
          <w:spacing w:val="2"/>
          <w:sz w:val="22"/>
          <w:szCs w:val="22"/>
          <w:lang w:val="es-ES" w:eastAsia="es-ES"/>
        </w:rPr>
        <w:softHyphen/>
        <w:t xml:space="preserve">2013 </w:t>
      </w:r>
      <w:r>
        <w:rPr>
          <w:rFonts w:ascii="Verdana" w:hAnsi="Verdana" w:cs="Verdana"/>
          <w:spacing w:val="2"/>
          <w:sz w:val="22"/>
          <w:szCs w:val="22"/>
          <w:lang w:val="es-ES" w:eastAsia="es-ES"/>
        </w:rPr>
        <w:t xml:space="preserve">de 18 de julio de 2013, la. JUNTA DIRECTIVA DEL CONSEJO DE TRANSPORTE PÚBLICO, autoriza el traspaso del permiso de operación </w:t>
      </w:r>
      <w:r>
        <w:rPr>
          <w:rFonts w:ascii="Verdana" w:hAnsi="Verdana" w:cs="Verdana"/>
          <w:spacing w:val="2"/>
          <w:sz w:val="22"/>
          <w:szCs w:val="22"/>
          <w:lang w:val="es-ES" w:eastAsia="es-ES"/>
        </w:rPr>
        <w:t xml:space="preserve">de la Ruta N°684 descrita como Buenos Aires-Bolas de </w:t>
      </w:r>
      <w:proofErr w:type="spellStart"/>
      <w:r>
        <w:rPr>
          <w:rFonts w:ascii="Verdana" w:hAnsi="Verdana" w:cs="Verdana"/>
          <w:spacing w:val="2"/>
          <w:sz w:val="22"/>
          <w:szCs w:val="22"/>
          <w:lang w:val="es-ES" w:eastAsia="es-ES"/>
        </w:rPr>
        <w:t>Kugra</w:t>
      </w:r>
      <w:proofErr w:type="spellEnd"/>
      <w:r>
        <w:rPr>
          <w:rFonts w:ascii="Verdana" w:hAnsi="Verdana" w:cs="Verdana"/>
          <w:spacing w:val="2"/>
          <w:sz w:val="22"/>
          <w:szCs w:val="22"/>
          <w:lang w:val="es-ES" w:eastAsia="es-ES"/>
        </w:rPr>
        <w:t xml:space="preserve"> y viceversa de la empresa </w:t>
      </w:r>
      <w:r>
        <w:rPr>
          <w:rFonts w:ascii="Verdana" w:hAnsi="Verdana" w:cs="Verdana"/>
          <w:b/>
          <w:bCs/>
          <w:spacing w:val="2"/>
          <w:sz w:val="22"/>
          <w:szCs w:val="22"/>
          <w:lang w:val="es-ES" w:eastAsia="es-ES"/>
        </w:rPr>
        <w:t>M</w:t>
      </w:r>
      <w:r w:rsidR="00727691">
        <w:rPr>
          <w:rFonts w:ascii="Verdana" w:hAnsi="Verdana" w:cs="Verdana"/>
          <w:b/>
          <w:bCs/>
          <w:spacing w:val="2"/>
          <w:sz w:val="22"/>
          <w:szCs w:val="22"/>
          <w:lang w:val="es-ES" w:eastAsia="es-ES"/>
        </w:rPr>
        <w:t>.</w:t>
      </w:r>
      <w:r>
        <w:rPr>
          <w:rFonts w:ascii="Verdana" w:hAnsi="Verdana" w:cs="Verdana"/>
          <w:b/>
          <w:bCs/>
          <w:spacing w:val="2"/>
          <w:sz w:val="22"/>
          <w:szCs w:val="22"/>
          <w:lang w:val="es-ES" w:eastAsia="es-ES"/>
        </w:rPr>
        <w:t>S.A.</w:t>
      </w:r>
      <w:r w:rsidR="00727691">
        <w:rPr>
          <w:rFonts w:ascii="Verdana" w:hAnsi="Verdana" w:cs="Verdana"/>
          <w:b/>
          <w:bCs/>
          <w:spacing w:val="2"/>
          <w:sz w:val="22"/>
          <w:szCs w:val="22"/>
          <w:lang w:val="es-ES" w:eastAsia="es-ES"/>
        </w:rPr>
        <w:t>,</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a favor de la empresa </w:t>
      </w:r>
      <w:r>
        <w:rPr>
          <w:rFonts w:ascii="Verdana" w:hAnsi="Verdana" w:cs="Verdana"/>
          <w:b/>
          <w:bCs/>
          <w:spacing w:val="2"/>
          <w:sz w:val="22"/>
          <w:szCs w:val="22"/>
          <w:lang w:val="es-ES" w:eastAsia="es-ES"/>
        </w:rPr>
        <w:t>G</w:t>
      </w:r>
      <w:r w:rsidR="00727691">
        <w:rPr>
          <w:rFonts w:ascii="Verdana" w:hAnsi="Verdana" w:cs="Verdana"/>
          <w:b/>
          <w:bCs/>
          <w:spacing w:val="2"/>
          <w:sz w:val="22"/>
          <w:szCs w:val="22"/>
          <w:lang w:val="es-ES" w:eastAsia="es-ES"/>
        </w:rPr>
        <w:t>.</w:t>
      </w:r>
      <w:r>
        <w:rPr>
          <w:rFonts w:ascii="Verdana" w:hAnsi="Verdana" w:cs="Verdana"/>
          <w:b/>
          <w:bCs/>
          <w:spacing w:val="2"/>
          <w:sz w:val="22"/>
          <w:szCs w:val="22"/>
          <w:lang w:val="es-ES" w:eastAsia="es-ES"/>
        </w:rPr>
        <w:t>S.A.</w:t>
      </w:r>
      <w:r w:rsidR="00727691">
        <w:rPr>
          <w:rFonts w:ascii="Verdana" w:hAnsi="Verdana" w:cs="Verdana"/>
          <w:b/>
          <w:bCs/>
          <w:spacing w:val="2"/>
          <w:sz w:val="22"/>
          <w:szCs w:val="22"/>
          <w:lang w:val="es-ES" w:eastAsia="es-ES"/>
        </w:rPr>
        <w:t>,</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y además se autoriza la fusión de las rutas N° 165 descrita como San Isidro del General Cajón- Pueblo Nuevo-Santa Teresa y vi</w:t>
      </w:r>
      <w:r>
        <w:rPr>
          <w:rFonts w:ascii="Verdana" w:hAnsi="Verdana" w:cs="Verdana"/>
          <w:spacing w:val="2"/>
          <w:sz w:val="22"/>
          <w:szCs w:val="22"/>
          <w:lang w:val="es-ES" w:eastAsia="es-ES"/>
        </w:rPr>
        <w:t>ceversa, R</w:t>
      </w:r>
      <w:r w:rsidR="00727691">
        <w:rPr>
          <w:rFonts w:ascii="Verdana" w:hAnsi="Verdana" w:cs="Verdana"/>
          <w:spacing w:val="2"/>
          <w:sz w:val="22"/>
          <w:szCs w:val="22"/>
          <w:lang w:val="es-ES" w:eastAsia="es-ES"/>
        </w:rPr>
        <w:t>uta N° 611 descrita como Urbano</w:t>
      </w:r>
      <w:r>
        <w:rPr>
          <w:rFonts w:ascii="Verdana" w:hAnsi="Verdana" w:cs="Verdana"/>
          <w:spacing w:val="2"/>
          <w:sz w:val="22"/>
          <w:szCs w:val="22"/>
          <w:lang w:val="es-ES" w:eastAsia="es-ES"/>
        </w:rPr>
        <w:t xml:space="preserve"> de Buenos Aires y viceversa, y Ruta 684 descrita como Buenos Aires-Bolas de </w:t>
      </w:r>
      <w:proofErr w:type="spellStart"/>
      <w:r>
        <w:rPr>
          <w:rFonts w:ascii="Verdana" w:hAnsi="Verdana" w:cs="Verdana"/>
          <w:spacing w:val="2"/>
          <w:sz w:val="22"/>
          <w:szCs w:val="22"/>
          <w:lang w:val="es-ES" w:eastAsia="es-ES"/>
        </w:rPr>
        <w:t>Kugra</w:t>
      </w:r>
      <w:proofErr w:type="spellEnd"/>
      <w:r>
        <w:rPr>
          <w:rFonts w:ascii="Verdana" w:hAnsi="Verdana" w:cs="Verdana"/>
          <w:spacing w:val="2"/>
          <w:sz w:val="22"/>
          <w:szCs w:val="22"/>
          <w:lang w:val="es-ES" w:eastAsia="es-ES"/>
        </w:rPr>
        <w:t xml:space="preserve"> y viceversa; a la concesión de la Ruta 607 descrita, como San Isidro de El General-Buenos Aires de Puntarenas y viceversa, todas op</w:t>
      </w:r>
      <w:r>
        <w:rPr>
          <w:rFonts w:ascii="Verdana" w:hAnsi="Verdana" w:cs="Verdana"/>
          <w:spacing w:val="2"/>
          <w:sz w:val="22"/>
          <w:szCs w:val="22"/>
          <w:lang w:val="es-ES" w:eastAsia="es-ES"/>
        </w:rPr>
        <w:t xml:space="preserve">eradas por la empresa </w:t>
      </w:r>
      <w:r>
        <w:rPr>
          <w:rFonts w:ascii="Verdana" w:hAnsi="Verdana" w:cs="Verdana"/>
          <w:b/>
          <w:bCs/>
          <w:spacing w:val="2"/>
          <w:sz w:val="22"/>
          <w:szCs w:val="22"/>
          <w:lang w:val="es-ES" w:eastAsia="es-ES"/>
        </w:rPr>
        <w:t>G</w:t>
      </w:r>
      <w:r w:rsidR="00727691">
        <w:rPr>
          <w:rFonts w:ascii="Verdana" w:hAnsi="Verdana" w:cs="Verdana"/>
          <w:b/>
          <w:bCs/>
          <w:spacing w:val="2"/>
          <w:sz w:val="22"/>
          <w:szCs w:val="22"/>
          <w:lang w:val="es-ES" w:eastAsia="es-ES"/>
        </w:rPr>
        <w:t>.</w:t>
      </w:r>
      <w:r>
        <w:rPr>
          <w:rFonts w:ascii="Verdana" w:hAnsi="Verdana" w:cs="Verdana"/>
          <w:b/>
          <w:bCs/>
          <w:spacing w:val="2"/>
          <w:sz w:val="22"/>
          <w:szCs w:val="22"/>
          <w:lang w:val="es-ES" w:eastAsia="es-ES"/>
        </w:rPr>
        <w:t xml:space="preserve">S.A., </w:t>
      </w:r>
      <w:r>
        <w:rPr>
          <w:rFonts w:ascii="Verdana" w:hAnsi="Verdana" w:cs="Verdana"/>
          <w:spacing w:val="2"/>
          <w:sz w:val="22"/>
          <w:szCs w:val="22"/>
          <w:lang w:val="es-ES" w:eastAsia="es-ES"/>
        </w:rPr>
        <w:t>EN EL MISMO ACUERDO SE DISPONE DESACTIVAR LOS CÓDIGOS DE Rutas 165, 611 y 684 (Léase folios del 25 al 41 del expediente administrativo)</w:t>
      </w:r>
    </w:p>
    <w:p w:rsidR="00000000" w:rsidRDefault="00712799">
      <w:pPr>
        <w:kinsoku w:val="0"/>
        <w:overflowPunct w:val="0"/>
        <w:autoSpaceDE/>
        <w:autoSpaceDN/>
        <w:adjustRightInd/>
        <w:spacing w:before="287" w:after="569" w:line="320" w:lineRule="exact"/>
        <w:ind w:right="576"/>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 xml:space="preserve">La empresa </w:t>
      </w:r>
      <w:r>
        <w:rPr>
          <w:rFonts w:ascii="Verdana" w:hAnsi="Verdana" w:cs="Verdana"/>
          <w:b/>
          <w:bCs/>
          <w:sz w:val="22"/>
          <w:szCs w:val="22"/>
          <w:lang w:val="es-ES" w:eastAsia="es-ES"/>
        </w:rPr>
        <w:t>C</w:t>
      </w:r>
      <w:r w:rsidR="00727691">
        <w:rPr>
          <w:rFonts w:ascii="Verdana" w:hAnsi="Verdana" w:cs="Verdana"/>
          <w:b/>
          <w:bCs/>
          <w:sz w:val="22"/>
          <w:szCs w:val="22"/>
          <w:lang w:val="es-ES" w:eastAsia="es-ES"/>
        </w:rPr>
        <w:t>.T.S.R.A.</w:t>
      </w:r>
      <w:r>
        <w:rPr>
          <w:rFonts w:ascii="Verdana" w:hAnsi="Verdana" w:cs="Verdana"/>
          <w:b/>
          <w:bCs/>
          <w:sz w:val="22"/>
          <w:szCs w:val="22"/>
          <w:lang w:val="es-ES" w:eastAsia="es-ES"/>
        </w:rPr>
        <w:t xml:space="preserve">S.A., </w:t>
      </w:r>
      <w:r>
        <w:rPr>
          <w:rFonts w:ascii="Verdana" w:hAnsi="Verdana" w:cs="Verdana"/>
          <w:sz w:val="22"/>
          <w:szCs w:val="22"/>
          <w:lang w:val="es-ES" w:eastAsia="es-ES"/>
        </w:rPr>
        <w:t>en el Recurso que p</w:t>
      </w:r>
      <w:r>
        <w:rPr>
          <w:rFonts w:ascii="Verdana" w:hAnsi="Verdana" w:cs="Verdana"/>
          <w:sz w:val="22"/>
          <w:szCs w:val="22"/>
          <w:lang w:val="es-ES" w:eastAsia="es-ES"/>
        </w:rPr>
        <w:t xml:space="preserve">resenta, por medio de su Apoderado Generalísimo sin Límite de Suma señor </w:t>
      </w:r>
      <w:r>
        <w:rPr>
          <w:rFonts w:ascii="Verdana" w:hAnsi="Verdana" w:cs="Verdana"/>
          <w:b/>
          <w:bCs/>
          <w:sz w:val="22"/>
          <w:szCs w:val="22"/>
          <w:lang w:val="es-ES" w:eastAsia="es-ES"/>
        </w:rPr>
        <w:t>V</w:t>
      </w:r>
      <w:r w:rsidR="00727691">
        <w:rPr>
          <w:rFonts w:ascii="Verdana" w:hAnsi="Verdana" w:cs="Verdana"/>
          <w:b/>
          <w:bCs/>
          <w:sz w:val="22"/>
          <w:szCs w:val="22"/>
          <w:lang w:val="es-ES" w:eastAsia="es-ES"/>
        </w:rPr>
        <w:t>.M.H.V.</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en contra del </w:t>
      </w:r>
      <w:r>
        <w:rPr>
          <w:rFonts w:ascii="Verdana" w:hAnsi="Verdana" w:cs="Verdana"/>
          <w:b/>
          <w:bCs/>
          <w:sz w:val="22"/>
          <w:szCs w:val="22"/>
          <w:lang w:val="es-ES" w:eastAsia="es-ES"/>
        </w:rPr>
        <w:t>Artículo 7.1 de la Sesión Ordinaria N.</w:t>
      </w:r>
    </w:p>
    <w:p w:rsidR="00000000" w:rsidRDefault="00712799">
      <w:pPr>
        <w:widowControl/>
        <w:rPr>
          <w:sz w:val="24"/>
          <w:szCs w:val="24"/>
        </w:rPr>
        <w:sectPr w:rsidR="00000000">
          <w:pgSz w:w="12240" w:h="15840"/>
          <w:pgMar w:top="800" w:right="1627" w:bottom="230" w:left="1973" w:header="720" w:footer="720" w:gutter="0"/>
          <w:cols w:space="720"/>
          <w:noEndnote/>
        </w:sectPr>
      </w:pPr>
    </w:p>
    <w:p w:rsidR="00000000" w:rsidRDefault="00712799">
      <w:pPr>
        <w:widowControl/>
        <w:rPr>
          <w:sz w:val="24"/>
          <w:szCs w:val="24"/>
        </w:rPr>
        <w:sectPr w:rsidR="00000000">
          <w:type w:val="continuous"/>
          <w:pgSz w:w="12240" w:h="15840"/>
          <w:pgMar w:top="800" w:right="2257" w:bottom="230" w:left="7283" w:header="720" w:footer="720" w:gutter="0"/>
          <w:cols w:space="720"/>
          <w:noEndnote/>
        </w:sectPr>
      </w:pPr>
    </w:p>
    <w:p w:rsidR="00000000" w:rsidRDefault="00712799" w:rsidP="00727691">
      <w:pPr>
        <w:kinsoku w:val="0"/>
        <w:overflowPunct w:val="0"/>
        <w:autoSpaceDE/>
        <w:autoSpaceDN/>
        <w:adjustRightInd/>
        <w:spacing w:line="310" w:lineRule="exact"/>
        <w:jc w:val="both"/>
        <w:textAlignment w:val="baseline"/>
        <w:rPr>
          <w:rFonts w:ascii="Verdana" w:hAnsi="Verdana" w:cs="Verdana"/>
          <w:sz w:val="22"/>
          <w:szCs w:val="22"/>
          <w:lang w:val="es-ES" w:eastAsia="es-ES"/>
        </w:rPr>
      </w:pPr>
      <w:r>
        <w:rPr>
          <w:rFonts w:ascii="Verdana" w:hAnsi="Verdana" w:cs="Verdana"/>
          <w:b/>
          <w:bCs/>
          <w:spacing w:val="3"/>
          <w:sz w:val="22"/>
          <w:szCs w:val="22"/>
          <w:lang w:val="es-ES" w:eastAsia="es-ES"/>
        </w:rPr>
        <w:lastRenderedPageBreak/>
        <w:t xml:space="preserve">49-2013 </w:t>
      </w:r>
      <w:r>
        <w:rPr>
          <w:rFonts w:ascii="Verdana" w:hAnsi="Verdana" w:cs="Verdana"/>
          <w:spacing w:val="3"/>
          <w:sz w:val="22"/>
          <w:szCs w:val="22"/>
          <w:lang w:val="es-ES" w:eastAsia="es-ES"/>
        </w:rPr>
        <w:t>de 18 de julio de 2013, de la JUNTA DIRECTIVA DEL CONSEJO DE TRANSPORTE PÚBLICO, indica en lo que interesa que el acuerdo impugnado adolece de error material ya que no valoró aspectos esenciales que están acreditados en otros acuerdos de Junta Directiva lo</w:t>
      </w:r>
      <w:r>
        <w:rPr>
          <w:rFonts w:ascii="Verdana" w:hAnsi="Verdana" w:cs="Verdana"/>
          <w:spacing w:val="3"/>
          <w:sz w:val="22"/>
          <w:szCs w:val="22"/>
          <w:lang w:val="es-ES" w:eastAsia="es-ES"/>
        </w:rPr>
        <w:t xml:space="preserve"> que causa perjuicio a la recurrente al determinar que han</w:t>
      </w:r>
      <w:r w:rsidR="00727691">
        <w:rPr>
          <w:rFonts w:ascii="Verdana" w:hAnsi="Verdana" w:cs="Verdana"/>
          <w:spacing w:val="3"/>
          <w:sz w:val="22"/>
          <w:szCs w:val="22"/>
          <w:lang w:val="es-ES" w:eastAsia="es-ES"/>
        </w:rPr>
        <w:t xml:space="preserve"> </w:t>
      </w:r>
      <w:r>
        <w:rPr>
          <w:rFonts w:ascii="Verdana" w:hAnsi="Verdana" w:cs="Verdana"/>
          <w:sz w:val="22"/>
          <w:szCs w:val="22"/>
          <w:lang w:val="es-ES" w:eastAsia="es-ES"/>
        </w:rPr>
        <w:t>incumplido los requisitos establecidos en el Decreto Ejecutivo N° 37737-MOPT, rechazándosele su oferta para participar en el proceso</w:t>
      </w:r>
      <w:r w:rsidR="00727691">
        <w:rPr>
          <w:rFonts w:ascii="Verdana" w:hAnsi="Verdana" w:cs="Verdana"/>
          <w:sz w:val="22"/>
          <w:szCs w:val="22"/>
          <w:lang w:val="es-ES" w:eastAsia="es-ES"/>
        </w:rPr>
        <w:t xml:space="preserve"> </w:t>
      </w:r>
      <w:r>
        <w:rPr>
          <w:rFonts w:ascii="Verdana" w:hAnsi="Verdana" w:cs="Verdana"/>
          <w:sz w:val="22"/>
          <w:szCs w:val="22"/>
          <w:lang w:val="es-ES" w:eastAsia="es-ES"/>
        </w:rPr>
        <w:t xml:space="preserve">para optar por una concesión. </w:t>
      </w:r>
      <w:r w:rsidR="00727691">
        <w:rPr>
          <w:rFonts w:ascii="Verdana" w:hAnsi="Verdana" w:cs="Verdana"/>
          <w:sz w:val="22"/>
          <w:szCs w:val="22"/>
          <w:lang w:val="es-ES" w:eastAsia="es-ES"/>
        </w:rPr>
        <w:t>(Léanse</w:t>
      </w:r>
      <w:r>
        <w:rPr>
          <w:rFonts w:ascii="Verdana" w:hAnsi="Verdana" w:cs="Verdana"/>
          <w:sz w:val="22"/>
          <w:szCs w:val="22"/>
          <w:lang w:val="es-ES" w:eastAsia="es-ES"/>
        </w:rPr>
        <w:t xml:space="preserve"> folios del 14 al 16 del e</w:t>
      </w:r>
      <w:r>
        <w:rPr>
          <w:rFonts w:ascii="Verdana" w:hAnsi="Verdana" w:cs="Verdana"/>
          <w:sz w:val="22"/>
          <w:szCs w:val="22"/>
          <w:lang w:val="es-ES" w:eastAsia="es-ES"/>
        </w:rPr>
        <w:t>xpediente administrativo)</w:t>
      </w:r>
    </w:p>
    <w:p w:rsidR="00000000" w:rsidRDefault="00712799" w:rsidP="00727691">
      <w:pPr>
        <w:kinsoku w:val="0"/>
        <w:overflowPunct w:val="0"/>
        <w:autoSpaceDE/>
        <w:autoSpaceDN/>
        <w:adjustRightInd/>
        <w:spacing w:before="351" w:line="267" w:lineRule="exact"/>
        <w:jc w:val="both"/>
        <w:textAlignment w:val="baseline"/>
        <w:rPr>
          <w:rFonts w:ascii="Verdana" w:hAnsi="Verdana" w:cs="Verdana"/>
          <w:spacing w:val="2"/>
          <w:sz w:val="22"/>
          <w:szCs w:val="22"/>
          <w:lang w:val="es-ES" w:eastAsia="es-ES"/>
        </w:rPr>
      </w:pPr>
      <w:r>
        <w:rPr>
          <w:rFonts w:ascii="Verdana" w:hAnsi="Verdana" w:cs="Verdana"/>
          <w:b/>
          <w:bCs/>
          <w:spacing w:val="10"/>
          <w:sz w:val="22"/>
          <w:szCs w:val="22"/>
          <w:lang w:val="es-ES" w:eastAsia="es-ES"/>
        </w:rPr>
        <w:t xml:space="preserve">TERCERO: </w:t>
      </w:r>
      <w:r>
        <w:rPr>
          <w:rFonts w:ascii="Verdana" w:hAnsi="Verdana" w:cs="Verdana"/>
          <w:spacing w:val="10"/>
          <w:sz w:val="22"/>
          <w:szCs w:val="22"/>
          <w:lang w:val="es-ES" w:eastAsia="es-ES"/>
        </w:rPr>
        <w:t>La Junta Directiva del Consejo de Transporte Público,</w:t>
      </w:r>
      <w:r w:rsidR="00727691">
        <w:rPr>
          <w:rFonts w:ascii="Verdana" w:hAnsi="Verdana" w:cs="Verdana"/>
          <w:spacing w:val="10"/>
          <w:sz w:val="22"/>
          <w:szCs w:val="22"/>
          <w:lang w:val="es-ES" w:eastAsia="es-ES"/>
        </w:rPr>
        <w:t xml:space="preserve"> </w:t>
      </w:r>
      <w:r>
        <w:rPr>
          <w:rFonts w:ascii="Verdana" w:hAnsi="Verdana" w:cs="Verdana"/>
          <w:sz w:val="22"/>
          <w:szCs w:val="22"/>
          <w:lang w:val="es-ES" w:eastAsia="es-ES"/>
        </w:rPr>
        <w:t xml:space="preserve">mediante </w:t>
      </w:r>
      <w:r>
        <w:rPr>
          <w:rFonts w:ascii="Verdana" w:hAnsi="Verdana" w:cs="Verdana"/>
          <w:b/>
          <w:bCs/>
          <w:sz w:val="22"/>
          <w:szCs w:val="22"/>
          <w:lang w:val="es-ES" w:eastAsia="es-ES"/>
        </w:rPr>
        <w:t xml:space="preserve">acuerdo 7.6 de la Sesión 57-2014 de 8 de octubre de 2014, </w:t>
      </w:r>
      <w:r>
        <w:rPr>
          <w:rFonts w:ascii="Verdana" w:hAnsi="Verdana" w:cs="Verdana"/>
          <w:sz w:val="22"/>
          <w:szCs w:val="22"/>
          <w:lang w:val="es-ES" w:eastAsia="es-ES"/>
        </w:rPr>
        <w:t>conoce y aprueba el informe de la Dirección de Asuntos</w:t>
      </w:r>
      <w:r w:rsidR="00727691">
        <w:rPr>
          <w:rFonts w:ascii="Verdana" w:hAnsi="Verdana" w:cs="Verdana"/>
          <w:sz w:val="22"/>
          <w:szCs w:val="22"/>
          <w:lang w:val="es-ES" w:eastAsia="es-ES"/>
        </w:rPr>
        <w:t xml:space="preserve"> </w:t>
      </w:r>
      <w:r>
        <w:rPr>
          <w:rFonts w:ascii="Verdana" w:hAnsi="Verdana" w:cs="Verdana"/>
          <w:spacing w:val="9"/>
          <w:sz w:val="22"/>
          <w:szCs w:val="22"/>
          <w:lang w:val="es-ES" w:eastAsia="es-ES"/>
        </w:rPr>
        <w:t xml:space="preserve">Jurídicos N° DAJ-2014001042 y dispone </w:t>
      </w:r>
      <w:r>
        <w:rPr>
          <w:rFonts w:ascii="Verdana" w:hAnsi="Verdana" w:cs="Verdana"/>
          <w:b/>
          <w:bCs/>
          <w:spacing w:val="9"/>
          <w:sz w:val="22"/>
          <w:szCs w:val="22"/>
          <w:lang w:val="es-ES" w:eastAsia="es-ES"/>
        </w:rPr>
        <w:t>rechaza</w:t>
      </w:r>
      <w:r>
        <w:rPr>
          <w:rFonts w:ascii="Verdana" w:hAnsi="Verdana" w:cs="Verdana"/>
          <w:b/>
          <w:bCs/>
          <w:spacing w:val="9"/>
          <w:sz w:val="22"/>
          <w:szCs w:val="22"/>
          <w:lang w:val="es-ES" w:eastAsia="es-ES"/>
        </w:rPr>
        <w:t>r el recurso de</w:t>
      </w:r>
      <w:r w:rsidR="00727691">
        <w:rPr>
          <w:rFonts w:ascii="Verdana" w:hAnsi="Verdana" w:cs="Verdana"/>
          <w:b/>
          <w:bCs/>
          <w:spacing w:val="9"/>
          <w:sz w:val="22"/>
          <w:szCs w:val="22"/>
          <w:lang w:val="es-ES" w:eastAsia="es-ES"/>
        </w:rPr>
        <w:t xml:space="preserve"> </w:t>
      </w:r>
      <w:r>
        <w:rPr>
          <w:rFonts w:ascii="Verdana" w:hAnsi="Verdana" w:cs="Verdana"/>
          <w:b/>
          <w:bCs/>
          <w:sz w:val="22"/>
          <w:szCs w:val="22"/>
          <w:lang w:val="es-ES" w:eastAsia="es-ES"/>
        </w:rPr>
        <w:t xml:space="preserve">Revocatoria </w:t>
      </w:r>
      <w:r>
        <w:rPr>
          <w:rFonts w:ascii="Verdana" w:hAnsi="Verdana" w:cs="Verdana"/>
          <w:sz w:val="22"/>
          <w:szCs w:val="22"/>
          <w:lang w:val="es-ES" w:eastAsia="es-ES"/>
        </w:rPr>
        <w:t xml:space="preserve">presentado contra </w:t>
      </w:r>
      <w:r>
        <w:rPr>
          <w:rFonts w:ascii="Verdana" w:hAnsi="Verdana" w:cs="Verdana"/>
          <w:b/>
          <w:bCs/>
          <w:sz w:val="22"/>
          <w:szCs w:val="22"/>
          <w:lang w:val="es-ES" w:eastAsia="es-ES"/>
        </w:rPr>
        <w:t>Artículo 7.1</w:t>
      </w:r>
      <w:r w:rsidR="00727691">
        <w:rPr>
          <w:rFonts w:ascii="Verdana" w:hAnsi="Verdana" w:cs="Verdana"/>
          <w:b/>
          <w:bCs/>
          <w:sz w:val="22"/>
          <w:szCs w:val="22"/>
          <w:lang w:val="es-ES" w:eastAsia="es-ES"/>
        </w:rPr>
        <w:t xml:space="preserve"> d</w:t>
      </w:r>
      <w:r>
        <w:rPr>
          <w:rFonts w:ascii="Verdana" w:hAnsi="Verdana" w:cs="Verdana"/>
          <w:b/>
          <w:bCs/>
          <w:sz w:val="22"/>
          <w:szCs w:val="22"/>
          <w:lang w:val="es-ES" w:eastAsia="es-ES"/>
        </w:rPr>
        <w:t>e la Sesión</w:t>
      </w:r>
      <w:r w:rsidR="00727691">
        <w:rPr>
          <w:rFonts w:ascii="Verdana" w:hAnsi="Verdana" w:cs="Verdana"/>
          <w:b/>
          <w:bCs/>
          <w:sz w:val="22"/>
          <w:szCs w:val="22"/>
          <w:lang w:val="es-ES" w:eastAsia="es-ES"/>
        </w:rPr>
        <w:t xml:space="preserve"> </w:t>
      </w:r>
      <w:r>
        <w:rPr>
          <w:rFonts w:ascii="Verdana" w:hAnsi="Verdana" w:cs="Verdana"/>
          <w:b/>
          <w:bCs/>
          <w:sz w:val="22"/>
          <w:szCs w:val="22"/>
          <w:lang w:val="es-ES" w:eastAsia="es-ES"/>
        </w:rPr>
        <w:t xml:space="preserve">Ordinaria N. 49-2013 </w:t>
      </w:r>
      <w:r>
        <w:rPr>
          <w:rFonts w:ascii="Verdana" w:hAnsi="Verdana" w:cs="Verdana"/>
          <w:sz w:val="22"/>
          <w:szCs w:val="22"/>
          <w:lang w:val="es-ES" w:eastAsia="es-ES"/>
        </w:rPr>
        <w:t xml:space="preserve">de 18 de julio de 2013, </w:t>
      </w:r>
      <w:r>
        <w:rPr>
          <w:rFonts w:ascii="Verdana" w:hAnsi="Verdana" w:cs="Verdana"/>
          <w:b/>
          <w:bCs/>
          <w:sz w:val="22"/>
          <w:szCs w:val="22"/>
          <w:lang w:val="es-ES" w:eastAsia="es-ES"/>
        </w:rPr>
        <w:t xml:space="preserve">por Falta de Legitimación del Recurrente. </w:t>
      </w:r>
      <w:r>
        <w:rPr>
          <w:rFonts w:ascii="Verdana" w:hAnsi="Verdana" w:cs="Verdana"/>
          <w:sz w:val="22"/>
          <w:szCs w:val="22"/>
          <w:lang w:val="es-ES" w:eastAsia="es-ES"/>
        </w:rPr>
        <w:t>(Léanse folios 1 y del 5 al 12 del</w:t>
      </w:r>
      <w:r w:rsidR="00727691">
        <w:rPr>
          <w:rFonts w:ascii="Verdana" w:hAnsi="Verdana" w:cs="Verdana"/>
          <w:sz w:val="22"/>
          <w:szCs w:val="22"/>
          <w:lang w:val="es-ES" w:eastAsia="es-ES"/>
        </w:rPr>
        <w:t xml:space="preserve"> </w:t>
      </w:r>
      <w:r>
        <w:rPr>
          <w:rFonts w:ascii="Verdana" w:hAnsi="Verdana" w:cs="Verdana"/>
          <w:spacing w:val="2"/>
          <w:sz w:val="22"/>
          <w:szCs w:val="22"/>
          <w:lang w:val="es-ES" w:eastAsia="es-ES"/>
        </w:rPr>
        <w:t>expediente administrativo.)</w:t>
      </w:r>
    </w:p>
    <w:p w:rsidR="00000000" w:rsidRDefault="00712799">
      <w:pPr>
        <w:kinsoku w:val="0"/>
        <w:overflowPunct w:val="0"/>
        <w:autoSpaceDE/>
        <w:autoSpaceDN/>
        <w:adjustRightInd/>
        <w:spacing w:before="280" w:line="333"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En los procedimientos se ha observado las prescripciones del caso.</w:t>
      </w:r>
    </w:p>
    <w:p w:rsidR="00000000" w:rsidRDefault="00712799">
      <w:pPr>
        <w:kinsoku w:val="0"/>
        <w:overflowPunct w:val="0"/>
        <w:autoSpaceDE/>
        <w:autoSpaceDN/>
        <w:adjustRightInd/>
        <w:spacing w:before="364" w:line="267" w:lineRule="exact"/>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Redacta Jueza Pérez Peláez.</w:t>
      </w:r>
    </w:p>
    <w:p w:rsidR="00000000" w:rsidRDefault="00712799">
      <w:pPr>
        <w:kinsoku w:val="0"/>
        <w:overflowPunct w:val="0"/>
        <w:autoSpaceDE/>
        <w:autoSpaceDN/>
        <w:adjustRightInd/>
        <w:spacing w:before="362" w:line="267" w:lineRule="exact"/>
        <w:jc w:val="center"/>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CONSIDERANDO UNICO</w:t>
      </w:r>
    </w:p>
    <w:p w:rsidR="00000000" w:rsidRDefault="00712799">
      <w:pPr>
        <w:kinsoku w:val="0"/>
        <w:overflowPunct w:val="0"/>
        <w:autoSpaceDE/>
        <w:autoSpaceDN/>
        <w:adjustRightInd/>
        <w:spacing w:before="355" w:line="275" w:lineRule="exact"/>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SOBRE LA COMPETENCIA: </w:t>
      </w:r>
      <w:r>
        <w:rPr>
          <w:rFonts w:ascii="Verdana" w:hAnsi="Verdana" w:cs="Verdana"/>
          <w:spacing w:val="-1"/>
          <w:sz w:val="22"/>
          <w:szCs w:val="22"/>
          <w:lang w:val="es-ES" w:eastAsia="es-ES"/>
        </w:rPr>
        <w:t>De conformidad con el artículo 22 de la Ley Reguladora del Servicio Público de Transporte Remunerado de Personas en Vehí</w:t>
      </w:r>
      <w:r>
        <w:rPr>
          <w:rFonts w:ascii="Verdana" w:hAnsi="Verdana" w:cs="Verdana"/>
          <w:spacing w:val="-1"/>
          <w:sz w:val="22"/>
          <w:szCs w:val="22"/>
          <w:lang w:val="es-ES" w:eastAsia="es-ES"/>
        </w:rPr>
        <w:t>culos en la Modalidad de Taxi, No. 7969 del 22 de diciembre de 1999, el TRIBUNAL ADMINISTRATIVO DE TRANSPORTE es el competente para conocer y resolver el presente RECURSO DE APELACIÓN EN SUBSIDIO.</w:t>
      </w:r>
    </w:p>
    <w:p w:rsidR="00000000" w:rsidRDefault="00712799">
      <w:pPr>
        <w:kinsoku w:val="0"/>
        <w:overflowPunct w:val="0"/>
        <w:autoSpaceDE/>
        <w:autoSpaceDN/>
        <w:adjustRightInd/>
        <w:spacing w:before="277" w:line="267" w:lineRule="exact"/>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SOBRE LA ADMISIBILIDAD DEL RECURSO</w:t>
      </w:r>
    </w:p>
    <w:p w:rsidR="00000000" w:rsidRDefault="00712799" w:rsidP="00727691">
      <w:pPr>
        <w:kinsoku w:val="0"/>
        <w:overflowPunct w:val="0"/>
        <w:autoSpaceDE/>
        <w:autoSpaceDN/>
        <w:adjustRightInd/>
        <w:spacing w:before="259" w:line="280"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La </w:t>
      </w:r>
      <w:r>
        <w:rPr>
          <w:rFonts w:ascii="Verdana" w:hAnsi="Verdana" w:cs="Verdana"/>
          <w:sz w:val="22"/>
          <w:szCs w:val="22"/>
          <w:lang w:val="es-ES" w:eastAsia="es-ES"/>
        </w:rPr>
        <w:t xml:space="preserve">empresa </w:t>
      </w:r>
      <w:r>
        <w:rPr>
          <w:rFonts w:ascii="Verdana" w:hAnsi="Verdana" w:cs="Verdana"/>
          <w:b/>
          <w:bCs/>
          <w:sz w:val="22"/>
          <w:szCs w:val="22"/>
          <w:lang w:val="es-ES" w:eastAsia="es-ES"/>
        </w:rPr>
        <w:t>C</w:t>
      </w:r>
      <w:r w:rsidR="00727691">
        <w:rPr>
          <w:rFonts w:ascii="Verdana" w:hAnsi="Verdana" w:cs="Verdana"/>
          <w:b/>
          <w:bCs/>
          <w:sz w:val="22"/>
          <w:szCs w:val="22"/>
          <w:lang w:val="es-ES" w:eastAsia="es-ES"/>
        </w:rPr>
        <w:t>.T.S.R.A.S.A.,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jurídica número </w:t>
      </w:r>
      <w:r w:rsidR="00727691">
        <w:rPr>
          <w:rFonts w:ascii="Verdana" w:hAnsi="Verdana" w:cs="Verdana"/>
          <w:sz w:val="22"/>
          <w:szCs w:val="22"/>
          <w:lang w:val="es-ES" w:eastAsia="es-ES"/>
        </w:rPr>
        <w:t>…</w:t>
      </w:r>
      <w:r>
        <w:rPr>
          <w:rFonts w:ascii="Verdana" w:hAnsi="Verdana" w:cs="Verdana"/>
          <w:sz w:val="22"/>
          <w:szCs w:val="22"/>
          <w:lang w:val="es-ES" w:eastAsia="es-ES"/>
        </w:rPr>
        <w:t xml:space="preserve">, por medio de su Apoderado Generalísimo sin Límite de Suma señor </w:t>
      </w:r>
      <w:r>
        <w:rPr>
          <w:rFonts w:ascii="Verdana" w:hAnsi="Verdana" w:cs="Verdana"/>
          <w:b/>
          <w:bCs/>
          <w:sz w:val="22"/>
          <w:szCs w:val="22"/>
          <w:lang w:val="es-ES" w:eastAsia="es-ES"/>
        </w:rPr>
        <w:t>V</w:t>
      </w:r>
      <w:r w:rsidR="00727691">
        <w:rPr>
          <w:rFonts w:ascii="Verdana" w:hAnsi="Verdana" w:cs="Verdana"/>
          <w:b/>
          <w:bCs/>
          <w:sz w:val="22"/>
          <w:szCs w:val="22"/>
          <w:lang w:val="es-ES" w:eastAsia="es-ES"/>
        </w:rPr>
        <w:t>.M.H.V.</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w:t>
      </w:r>
      <w:r w:rsidR="00727691">
        <w:rPr>
          <w:rFonts w:ascii="Verdana" w:hAnsi="Verdana" w:cs="Verdana"/>
          <w:sz w:val="22"/>
          <w:szCs w:val="22"/>
          <w:lang w:val="es-ES" w:eastAsia="es-ES"/>
        </w:rPr>
        <w:t>…</w:t>
      </w:r>
      <w:r>
        <w:rPr>
          <w:rFonts w:ascii="Verdana" w:hAnsi="Verdana" w:cs="Verdana"/>
          <w:sz w:val="22"/>
          <w:szCs w:val="22"/>
          <w:lang w:val="es-ES" w:eastAsia="es-ES"/>
        </w:rPr>
        <w:t>, presenta Recurso de</w:t>
      </w:r>
      <w:r w:rsidR="00727691">
        <w:rPr>
          <w:rFonts w:ascii="Verdana" w:hAnsi="Verdana" w:cs="Verdana"/>
          <w:sz w:val="22"/>
          <w:szCs w:val="22"/>
          <w:lang w:val="es-ES" w:eastAsia="es-ES"/>
        </w:rPr>
        <w:t xml:space="preserve"> </w:t>
      </w:r>
      <w:r>
        <w:rPr>
          <w:rFonts w:ascii="Verdana" w:hAnsi="Verdana" w:cs="Verdana"/>
          <w:sz w:val="22"/>
          <w:szCs w:val="22"/>
          <w:lang w:val="es-ES" w:eastAsia="es-ES"/>
        </w:rPr>
        <w:t xml:space="preserve">Apelación en subsidio en contra del </w:t>
      </w:r>
      <w:r>
        <w:rPr>
          <w:rFonts w:ascii="Verdana" w:hAnsi="Verdana" w:cs="Verdana"/>
          <w:b/>
          <w:bCs/>
          <w:sz w:val="22"/>
          <w:szCs w:val="22"/>
          <w:lang w:val="es-ES" w:eastAsia="es-ES"/>
        </w:rPr>
        <w:t>Art</w:t>
      </w:r>
      <w:r>
        <w:rPr>
          <w:rFonts w:ascii="Verdana" w:hAnsi="Verdana" w:cs="Verdana"/>
          <w:b/>
          <w:bCs/>
          <w:sz w:val="22"/>
          <w:szCs w:val="22"/>
          <w:lang w:val="es-ES" w:eastAsia="es-ES"/>
        </w:rPr>
        <w:t>ículo 7.1</w:t>
      </w:r>
      <w:r>
        <w:rPr>
          <w:rFonts w:ascii="Verdana" w:hAnsi="Verdana" w:cs="Verdana"/>
          <w:b/>
          <w:bCs/>
          <w:sz w:val="22"/>
          <w:szCs w:val="22"/>
          <w:lang w:val="es-ES" w:eastAsia="es-ES"/>
        </w:rPr>
        <w:tab/>
        <w:t>de</w:t>
      </w:r>
      <w:r w:rsidR="00727691">
        <w:rPr>
          <w:rFonts w:ascii="Verdana" w:hAnsi="Verdana" w:cs="Verdana"/>
          <w:b/>
          <w:bCs/>
          <w:sz w:val="22"/>
          <w:szCs w:val="22"/>
          <w:lang w:val="es-ES" w:eastAsia="es-ES"/>
        </w:rPr>
        <w:t xml:space="preserve"> </w:t>
      </w:r>
      <w:r>
        <w:rPr>
          <w:rFonts w:ascii="Verdana" w:hAnsi="Verdana" w:cs="Verdana"/>
          <w:b/>
          <w:bCs/>
          <w:sz w:val="22"/>
          <w:szCs w:val="22"/>
          <w:lang w:val="es-ES" w:eastAsia="es-ES"/>
        </w:rPr>
        <w:t>la Sesión</w:t>
      </w:r>
      <w:r w:rsidR="00727691">
        <w:rPr>
          <w:rFonts w:ascii="Verdana" w:hAnsi="Verdana" w:cs="Verdana"/>
          <w:b/>
          <w:bCs/>
          <w:sz w:val="22"/>
          <w:szCs w:val="22"/>
          <w:lang w:val="es-ES" w:eastAsia="es-ES"/>
        </w:rPr>
        <w:t xml:space="preserve"> </w:t>
      </w:r>
      <w:r>
        <w:rPr>
          <w:rFonts w:ascii="Verdana" w:hAnsi="Verdana" w:cs="Verdana"/>
          <w:b/>
          <w:bCs/>
          <w:sz w:val="22"/>
          <w:szCs w:val="22"/>
          <w:lang w:val="es-ES" w:eastAsia="es-ES"/>
        </w:rPr>
        <w:t xml:space="preserve">Ordinaria N. 49-2013 </w:t>
      </w:r>
      <w:r>
        <w:rPr>
          <w:rFonts w:ascii="Verdana" w:hAnsi="Verdana" w:cs="Verdana"/>
          <w:sz w:val="22"/>
          <w:szCs w:val="22"/>
          <w:lang w:val="es-ES" w:eastAsia="es-ES"/>
        </w:rPr>
        <w:t>de 18 de julio de 2013, dictado por la JUNTA DIRECTIVA DEL CONSEJO DE TRANSPORTE PÚBLICO.</w:t>
      </w:r>
    </w:p>
    <w:p w:rsidR="00000000" w:rsidRDefault="00712799">
      <w:pPr>
        <w:widowControl/>
        <w:rPr>
          <w:sz w:val="24"/>
          <w:szCs w:val="24"/>
        </w:rPr>
        <w:sectPr w:rsidR="00000000">
          <w:pgSz w:w="12240" w:h="15840"/>
          <w:pgMar w:top="1340" w:right="2183" w:bottom="250" w:left="1997" w:header="720" w:footer="720" w:gutter="0"/>
          <w:cols w:space="720"/>
          <w:noEndnote/>
        </w:sectPr>
      </w:pPr>
    </w:p>
    <w:p w:rsidR="00000000" w:rsidRDefault="00712799">
      <w:pPr>
        <w:widowControl/>
        <w:rPr>
          <w:sz w:val="24"/>
          <w:szCs w:val="24"/>
        </w:rPr>
        <w:sectPr w:rsidR="00000000">
          <w:type w:val="continuous"/>
          <w:pgSz w:w="12240" w:h="15840"/>
          <w:pgMar w:top="1340" w:right="2196" w:bottom="250" w:left="7344" w:header="720" w:footer="720" w:gutter="0"/>
          <w:cols w:space="720"/>
          <w:noEndnote/>
        </w:sectPr>
      </w:pPr>
    </w:p>
    <w:p w:rsidR="00000000" w:rsidRDefault="00712799">
      <w:pPr>
        <w:kinsoku w:val="0"/>
        <w:overflowPunct w:val="0"/>
        <w:autoSpaceDE/>
        <w:autoSpaceDN/>
        <w:adjustRightInd/>
        <w:spacing w:line="274" w:lineRule="exact"/>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 xml:space="preserve">El acuerdo impugnado es el acto mediante el cual se autoriza el traspaso del permiso de operación de la Ruta N°684 descrita como Buenos Aires-Bolas de </w:t>
      </w:r>
      <w:proofErr w:type="spellStart"/>
      <w:r>
        <w:rPr>
          <w:rFonts w:ascii="Verdana" w:hAnsi="Verdana" w:cs="Verdana"/>
          <w:spacing w:val="4"/>
          <w:sz w:val="22"/>
          <w:szCs w:val="22"/>
          <w:lang w:val="es-ES" w:eastAsia="es-ES"/>
        </w:rPr>
        <w:t>Kugra</w:t>
      </w:r>
      <w:proofErr w:type="spellEnd"/>
      <w:r>
        <w:rPr>
          <w:rFonts w:ascii="Verdana" w:hAnsi="Verdana" w:cs="Verdana"/>
          <w:spacing w:val="4"/>
          <w:sz w:val="22"/>
          <w:szCs w:val="22"/>
          <w:lang w:val="es-ES" w:eastAsia="es-ES"/>
        </w:rPr>
        <w:t xml:space="preserve"> y viceversa de la empresa </w:t>
      </w:r>
      <w:r>
        <w:rPr>
          <w:rFonts w:ascii="Verdana" w:hAnsi="Verdana" w:cs="Verdana"/>
          <w:b/>
          <w:bCs/>
          <w:spacing w:val="4"/>
          <w:sz w:val="22"/>
          <w:szCs w:val="22"/>
          <w:lang w:val="es-ES" w:eastAsia="es-ES"/>
        </w:rPr>
        <w:t>M</w:t>
      </w:r>
      <w:r w:rsidR="00727691">
        <w:rPr>
          <w:rFonts w:ascii="Verdana" w:hAnsi="Verdana" w:cs="Verdana"/>
          <w:b/>
          <w:bCs/>
          <w:spacing w:val="4"/>
          <w:sz w:val="22"/>
          <w:szCs w:val="22"/>
          <w:lang w:val="es-ES" w:eastAsia="es-ES"/>
        </w:rPr>
        <w:t>.</w:t>
      </w:r>
      <w:r>
        <w:rPr>
          <w:rFonts w:ascii="Verdana" w:hAnsi="Verdana" w:cs="Verdana"/>
          <w:b/>
          <w:bCs/>
          <w:spacing w:val="4"/>
          <w:sz w:val="22"/>
          <w:szCs w:val="22"/>
          <w:lang w:val="es-ES" w:eastAsia="es-ES"/>
        </w:rPr>
        <w:t>S.A.</w:t>
      </w:r>
      <w:r w:rsidR="00727691">
        <w:rPr>
          <w:rFonts w:ascii="Verdana" w:hAnsi="Verdana" w:cs="Verdana"/>
          <w:b/>
          <w:bCs/>
          <w:spacing w:val="4"/>
          <w:sz w:val="22"/>
          <w:szCs w:val="22"/>
          <w:lang w:val="es-ES" w:eastAsia="es-ES"/>
        </w:rPr>
        <w:t>,</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a favor de la empresa </w:t>
      </w:r>
      <w:r>
        <w:rPr>
          <w:rFonts w:ascii="Verdana" w:hAnsi="Verdana" w:cs="Verdana"/>
          <w:b/>
          <w:bCs/>
          <w:spacing w:val="4"/>
          <w:sz w:val="22"/>
          <w:szCs w:val="22"/>
          <w:lang w:val="es-ES" w:eastAsia="es-ES"/>
        </w:rPr>
        <w:t>G</w:t>
      </w:r>
      <w:r w:rsidR="00727691">
        <w:rPr>
          <w:rFonts w:ascii="Verdana" w:hAnsi="Verdana" w:cs="Verdana"/>
          <w:b/>
          <w:bCs/>
          <w:spacing w:val="4"/>
          <w:sz w:val="22"/>
          <w:szCs w:val="22"/>
          <w:lang w:val="es-ES" w:eastAsia="es-ES"/>
        </w:rPr>
        <w:t>.</w:t>
      </w:r>
      <w:r>
        <w:rPr>
          <w:rFonts w:ascii="Verdana" w:hAnsi="Verdana" w:cs="Verdana"/>
          <w:b/>
          <w:bCs/>
          <w:spacing w:val="4"/>
          <w:sz w:val="22"/>
          <w:szCs w:val="22"/>
          <w:lang w:val="es-ES" w:eastAsia="es-ES"/>
        </w:rPr>
        <w:t>S.A.</w:t>
      </w:r>
      <w:r w:rsidR="00727691">
        <w:rPr>
          <w:rFonts w:ascii="Verdana" w:hAnsi="Verdana" w:cs="Verdana"/>
          <w:b/>
          <w:bCs/>
          <w:spacing w:val="4"/>
          <w:sz w:val="22"/>
          <w:szCs w:val="22"/>
          <w:lang w:val="es-ES" w:eastAsia="es-ES"/>
        </w:rPr>
        <w:t>,</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y ademá</w:t>
      </w:r>
      <w:r>
        <w:rPr>
          <w:rFonts w:ascii="Verdana" w:hAnsi="Verdana" w:cs="Verdana"/>
          <w:spacing w:val="4"/>
          <w:sz w:val="22"/>
          <w:szCs w:val="22"/>
          <w:lang w:val="es-ES" w:eastAsia="es-ES"/>
        </w:rPr>
        <w:t xml:space="preserve">s se autoriza la fusión de las rutas N° 165 descrita como San Isidro del General Cajón- Pueblo Nuevo-Santa Teresa y viceversa, Ruta N° 611 descrita como Urbano de Buenos Aires y viceversa, y Ruta 684 descrita como Buenos Aires-Bolas de </w:t>
      </w:r>
      <w:proofErr w:type="spellStart"/>
      <w:r>
        <w:rPr>
          <w:rFonts w:ascii="Verdana" w:hAnsi="Verdana" w:cs="Verdana"/>
          <w:spacing w:val="4"/>
          <w:sz w:val="22"/>
          <w:szCs w:val="22"/>
          <w:lang w:val="es-ES" w:eastAsia="es-ES"/>
        </w:rPr>
        <w:t>Kugra</w:t>
      </w:r>
      <w:proofErr w:type="spellEnd"/>
      <w:r>
        <w:rPr>
          <w:rFonts w:ascii="Verdana" w:hAnsi="Verdana" w:cs="Verdana"/>
          <w:spacing w:val="4"/>
          <w:sz w:val="22"/>
          <w:szCs w:val="22"/>
          <w:lang w:val="es-ES" w:eastAsia="es-ES"/>
        </w:rPr>
        <w:t xml:space="preserve"> y viceversa; a</w:t>
      </w:r>
      <w:r>
        <w:rPr>
          <w:rFonts w:ascii="Verdana" w:hAnsi="Verdana" w:cs="Verdana"/>
          <w:spacing w:val="4"/>
          <w:sz w:val="22"/>
          <w:szCs w:val="22"/>
          <w:lang w:val="es-ES" w:eastAsia="es-ES"/>
        </w:rPr>
        <w:t xml:space="preserve">. la concesión de la Ruta 607 descrita, como San Isidro de El General-Buenos Aires de Puntarenas y viceversa, todas operadas por la empresa </w:t>
      </w:r>
      <w:r>
        <w:rPr>
          <w:rFonts w:ascii="Verdana" w:hAnsi="Verdana" w:cs="Verdana"/>
          <w:b/>
          <w:bCs/>
          <w:spacing w:val="4"/>
          <w:sz w:val="22"/>
          <w:szCs w:val="22"/>
          <w:lang w:val="es-ES" w:eastAsia="es-ES"/>
        </w:rPr>
        <w:t>G</w:t>
      </w:r>
      <w:r w:rsidR="00727691">
        <w:rPr>
          <w:rFonts w:ascii="Verdana" w:hAnsi="Verdana" w:cs="Verdana"/>
          <w:b/>
          <w:bCs/>
          <w:spacing w:val="4"/>
          <w:sz w:val="22"/>
          <w:szCs w:val="22"/>
          <w:lang w:val="es-ES" w:eastAsia="es-ES"/>
        </w:rPr>
        <w:t>.</w:t>
      </w:r>
      <w:r>
        <w:rPr>
          <w:rFonts w:ascii="Verdana" w:hAnsi="Verdana" w:cs="Verdana"/>
          <w:b/>
          <w:bCs/>
          <w:spacing w:val="4"/>
          <w:sz w:val="22"/>
          <w:szCs w:val="22"/>
          <w:lang w:val="es-ES" w:eastAsia="es-ES"/>
        </w:rPr>
        <w:t xml:space="preserve">S.A., </w:t>
      </w:r>
      <w:r>
        <w:rPr>
          <w:rFonts w:ascii="Verdana" w:hAnsi="Verdana" w:cs="Verdana"/>
          <w:spacing w:val="4"/>
          <w:sz w:val="22"/>
          <w:szCs w:val="22"/>
          <w:lang w:val="es-ES" w:eastAsia="es-ES"/>
        </w:rPr>
        <w:t>EN EL MISMO ACUERDO SE DISPONE DESACTIVAR LOS CÓDIGOS DE Rutas 165, 611 y 684 (Léase folios del 25 al 4</w:t>
      </w:r>
      <w:r>
        <w:rPr>
          <w:rFonts w:ascii="Verdana" w:hAnsi="Verdana" w:cs="Verdana"/>
          <w:spacing w:val="4"/>
          <w:sz w:val="22"/>
          <w:szCs w:val="22"/>
          <w:lang w:val="es-ES" w:eastAsia="es-ES"/>
        </w:rPr>
        <w:t>1 del expediente administrativo)</w:t>
      </w:r>
    </w:p>
    <w:p w:rsidR="00000000" w:rsidRDefault="00712799">
      <w:pPr>
        <w:kinsoku w:val="0"/>
        <w:overflowPunct w:val="0"/>
        <w:autoSpaceDE/>
        <w:autoSpaceDN/>
        <w:adjustRightInd/>
        <w:spacing w:before="274" w:line="276" w:lineRule="exact"/>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 xml:space="preserve">Al revisar las piezas del expediente administrativo, se puede constatar del mismo recurso presentado, que el recurrente es permisionario de las </w:t>
      </w:r>
      <w:r>
        <w:rPr>
          <w:rFonts w:ascii="Verdana" w:hAnsi="Verdana" w:cs="Verdana"/>
          <w:b/>
          <w:bCs/>
          <w:spacing w:val="4"/>
          <w:sz w:val="22"/>
          <w:szCs w:val="22"/>
          <w:lang w:val="es-ES" w:eastAsia="es-ES"/>
        </w:rPr>
        <w:t>Ruta N° 80 A descrita como San José-San Rafael Debajo de Desamparados y vicever</w:t>
      </w:r>
      <w:r>
        <w:rPr>
          <w:rFonts w:ascii="Verdana" w:hAnsi="Verdana" w:cs="Verdana"/>
          <w:b/>
          <w:bCs/>
          <w:spacing w:val="4"/>
          <w:sz w:val="22"/>
          <w:szCs w:val="22"/>
          <w:lang w:val="es-ES" w:eastAsia="es-ES"/>
        </w:rPr>
        <w:t xml:space="preserve">sa </w:t>
      </w:r>
      <w:r>
        <w:rPr>
          <w:rFonts w:ascii="Verdana" w:hAnsi="Verdana" w:cs="Verdana"/>
          <w:spacing w:val="4"/>
          <w:sz w:val="22"/>
          <w:szCs w:val="22"/>
          <w:lang w:val="es-ES" w:eastAsia="es-ES"/>
        </w:rPr>
        <w:t>no teniendo ninguna relación con las Rutas objeto de análisis y tratadas en el acuerdo que se impugna. (Léanse folios del 14 al 16 del expediente)</w:t>
      </w:r>
    </w:p>
    <w:p w:rsidR="00000000" w:rsidRDefault="00712799">
      <w:pPr>
        <w:kinsoku w:val="0"/>
        <w:overflowPunct w:val="0"/>
        <w:autoSpaceDE/>
        <w:autoSpaceDN/>
        <w:adjustRightInd/>
        <w:spacing w:before="266" w:line="276" w:lineRule="exact"/>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 xml:space="preserve">De acuerdo con lo anterior, el recurrente no cuenta con la legitimación necesaria para impugnar el </w:t>
      </w:r>
      <w:r>
        <w:rPr>
          <w:rFonts w:ascii="Verdana" w:hAnsi="Verdana" w:cs="Verdana"/>
          <w:b/>
          <w:bCs/>
          <w:spacing w:val="4"/>
          <w:sz w:val="22"/>
          <w:szCs w:val="22"/>
          <w:lang w:val="es-ES" w:eastAsia="es-ES"/>
        </w:rPr>
        <w:t>Artícul</w:t>
      </w:r>
      <w:r>
        <w:rPr>
          <w:rFonts w:ascii="Verdana" w:hAnsi="Verdana" w:cs="Verdana"/>
          <w:b/>
          <w:bCs/>
          <w:spacing w:val="4"/>
          <w:sz w:val="22"/>
          <w:szCs w:val="22"/>
          <w:lang w:val="es-ES" w:eastAsia="es-ES"/>
        </w:rPr>
        <w:t xml:space="preserve">o 7.1 de la Sesión Ordinaria N. 49-2013 </w:t>
      </w:r>
      <w:r>
        <w:rPr>
          <w:rFonts w:ascii="Verdana" w:hAnsi="Verdana" w:cs="Verdana"/>
          <w:spacing w:val="4"/>
          <w:sz w:val="22"/>
          <w:szCs w:val="22"/>
          <w:lang w:val="es-ES" w:eastAsia="es-ES"/>
        </w:rPr>
        <w:t>de 18 de julio de 2013.</w:t>
      </w:r>
    </w:p>
    <w:p w:rsidR="00000000" w:rsidRDefault="00712799">
      <w:pPr>
        <w:kinsoku w:val="0"/>
        <w:overflowPunct w:val="0"/>
        <w:autoSpaceDE/>
        <w:autoSpaceDN/>
        <w:adjustRightInd/>
        <w:spacing w:before="268" w:line="276"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Es requisito indispensable, para poder accionar en cualquier procedimiento jurídico y a esto no escapa la interposición de las acciones recursivas, contar con la debida Legitimación para ello.</w:t>
      </w:r>
    </w:p>
    <w:p w:rsidR="00000000" w:rsidRDefault="00712799">
      <w:pPr>
        <w:kinsoku w:val="0"/>
        <w:overflowPunct w:val="0"/>
        <w:autoSpaceDE/>
        <w:autoSpaceDN/>
        <w:adjustRightInd/>
        <w:spacing w:before="285" w:line="277"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La legitimación para accionar jurídicamente, alude a la aptitud de un sujeto para ser considerado parte en un proceso concreto.</w:t>
      </w:r>
    </w:p>
    <w:p w:rsidR="00000000" w:rsidRDefault="00712799">
      <w:pPr>
        <w:kinsoku w:val="0"/>
        <w:overflowPunct w:val="0"/>
        <w:autoSpaceDE/>
        <w:autoSpaceDN/>
        <w:adjustRightInd/>
        <w:spacing w:before="258" w:line="27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El artículo 275 de la Ley General de la Administración Pública, en cuanto a la Legitimación indica:</w:t>
      </w:r>
    </w:p>
    <w:p w:rsidR="00000000" w:rsidRDefault="00712799">
      <w:pPr>
        <w:kinsoku w:val="0"/>
        <w:overflowPunct w:val="0"/>
        <w:autoSpaceDE/>
        <w:autoSpaceDN/>
        <w:adjustRightInd/>
        <w:spacing w:before="271" w:line="228" w:lineRule="exact"/>
        <w:ind w:left="360" w:right="288"/>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"Artículo 275.- Podrá ser p</w:t>
      </w:r>
      <w:r>
        <w:rPr>
          <w:rFonts w:ascii="Verdana" w:hAnsi="Verdana" w:cs="Verdana"/>
          <w:i/>
          <w:iCs/>
          <w:sz w:val="19"/>
          <w:szCs w:val="19"/>
          <w:lang w:val="es-ES" w:eastAsia="es-ES"/>
        </w:rPr>
        <w:t>arte en el procedimiento administrativo, además de la Administración, todo el que tenga interés legítimo o derecho subjetivo que pueda resultar afectado, lesionado o satisfecho de manera total o parcial, por el acto final. El interés de la parte deberá ser</w:t>
      </w:r>
      <w:r>
        <w:rPr>
          <w:rFonts w:ascii="Verdana" w:hAnsi="Verdana" w:cs="Verdana"/>
          <w:i/>
          <w:iCs/>
          <w:sz w:val="19"/>
          <w:szCs w:val="19"/>
          <w:lang w:val="es-ES" w:eastAsia="es-ES"/>
        </w:rPr>
        <w:t xml:space="preserve"> legítimo y podrá ser moral, científico, religioso, económico o de cualquier otra naturaleza."</w:t>
      </w:r>
    </w:p>
    <w:p w:rsidR="00000000" w:rsidRDefault="00712799">
      <w:pPr>
        <w:kinsoku w:val="0"/>
        <w:overflowPunct w:val="0"/>
        <w:autoSpaceDE/>
        <w:autoSpaceDN/>
        <w:adjustRightInd/>
        <w:spacing w:before="501" w:line="321"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La Sala Primera de la Corte Suprema de Justicia en su sentencia número 00822 de fecha 04 de julio de 2013 de las 09:20:00 horas indicó respecto de la Legitimació</w:t>
      </w:r>
      <w:r>
        <w:rPr>
          <w:rFonts w:ascii="Verdana" w:hAnsi="Verdana" w:cs="Verdana"/>
          <w:sz w:val="22"/>
          <w:szCs w:val="22"/>
          <w:lang w:val="es-ES" w:eastAsia="es-ES"/>
        </w:rPr>
        <w:t>n lo siguiente:</w:t>
      </w:r>
    </w:p>
    <w:p w:rsidR="00000000" w:rsidRDefault="00712799">
      <w:pPr>
        <w:kinsoku w:val="0"/>
        <w:overflowPunct w:val="0"/>
        <w:autoSpaceDE/>
        <w:autoSpaceDN/>
        <w:adjustRightInd/>
        <w:spacing w:before="317" w:after="657" w:line="228" w:lineRule="exact"/>
        <w:jc w:val="center"/>
        <w:textAlignment w:val="baseline"/>
        <w:rPr>
          <w:rFonts w:ascii="Verdana" w:hAnsi="Verdana" w:cs="Verdana"/>
          <w:i/>
          <w:iCs/>
          <w:sz w:val="19"/>
          <w:szCs w:val="19"/>
          <w:lang w:val="es-ES" w:eastAsia="es-ES"/>
        </w:rPr>
      </w:pPr>
      <w:r>
        <w:rPr>
          <w:rFonts w:ascii="Verdana" w:hAnsi="Verdana" w:cs="Verdana"/>
          <w:i/>
          <w:iCs/>
          <w:sz w:val="19"/>
          <w:szCs w:val="19"/>
          <w:lang w:val="es-ES" w:eastAsia="es-ES"/>
        </w:rPr>
        <w:t xml:space="preserve">"La </w:t>
      </w:r>
      <w:r>
        <w:rPr>
          <w:rFonts w:ascii="Verdana" w:hAnsi="Verdana" w:cs="Verdana"/>
          <w:b/>
          <w:bCs/>
          <w:i/>
          <w:iCs/>
          <w:sz w:val="19"/>
          <w:szCs w:val="19"/>
          <w:lang w:val="es-ES" w:eastAsia="es-ES"/>
        </w:rPr>
        <w:t xml:space="preserve">legitimación </w:t>
      </w:r>
      <w:r>
        <w:rPr>
          <w:rFonts w:ascii="Verdana" w:hAnsi="Verdana" w:cs="Verdana"/>
          <w:i/>
          <w:iCs/>
          <w:sz w:val="19"/>
          <w:szCs w:val="19"/>
          <w:lang w:val="es-ES" w:eastAsia="es-ES"/>
        </w:rPr>
        <w:t>constituye un presupuesto de la pretensión formulada en</w:t>
      </w:r>
      <w:r>
        <w:rPr>
          <w:rFonts w:ascii="Verdana" w:hAnsi="Verdana" w:cs="Verdana"/>
          <w:i/>
          <w:iCs/>
          <w:sz w:val="19"/>
          <w:szCs w:val="19"/>
          <w:lang w:val="es-ES" w:eastAsia="es-ES"/>
        </w:rPr>
        <w:br/>
        <w:t>la demanda y de la oposición hecha por el demandado, para hacer posible</w:t>
      </w:r>
    </w:p>
    <w:p w:rsidR="00000000" w:rsidRDefault="00712799">
      <w:pPr>
        <w:widowControl/>
        <w:rPr>
          <w:sz w:val="24"/>
          <w:szCs w:val="24"/>
        </w:rPr>
        <w:sectPr w:rsidR="00000000">
          <w:pgSz w:w="12240" w:h="15840"/>
          <w:pgMar w:top="1360" w:right="2181" w:bottom="240" w:left="1999" w:header="720" w:footer="720" w:gutter="0"/>
          <w:cols w:space="720"/>
          <w:noEndnote/>
        </w:sectPr>
      </w:pPr>
    </w:p>
    <w:p w:rsidR="00000000" w:rsidRDefault="00712799">
      <w:pPr>
        <w:widowControl/>
        <w:rPr>
          <w:sz w:val="24"/>
          <w:szCs w:val="24"/>
        </w:rPr>
        <w:sectPr w:rsidR="00000000">
          <w:type w:val="continuous"/>
          <w:pgSz w:w="12240" w:h="15840"/>
          <w:pgMar w:top="1360" w:right="2209" w:bottom="240" w:left="7331" w:header="720" w:footer="720" w:gutter="0"/>
          <w:cols w:space="720"/>
          <w:noEndnote/>
        </w:sectPr>
      </w:pPr>
    </w:p>
    <w:p w:rsidR="00000000" w:rsidRDefault="00712799">
      <w:pPr>
        <w:kinsoku w:val="0"/>
        <w:overflowPunct w:val="0"/>
        <w:autoSpaceDE/>
        <w:autoSpaceDN/>
        <w:adjustRightInd/>
        <w:spacing w:before="1" w:line="229" w:lineRule="exact"/>
        <w:ind w:left="360" w:right="360"/>
        <w:jc w:val="both"/>
        <w:textAlignment w:val="baseline"/>
        <w:rPr>
          <w:rFonts w:ascii="Verdana" w:hAnsi="Verdana" w:cs="Verdana"/>
          <w:i/>
          <w:iCs/>
          <w:spacing w:val="2"/>
          <w:sz w:val="19"/>
          <w:szCs w:val="19"/>
          <w:lang w:val="es-ES" w:eastAsia="es-ES"/>
        </w:rPr>
      </w:pPr>
      <w:r>
        <w:rPr>
          <w:rFonts w:ascii="Verdana" w:hAnsi="Verdana" w:cs="Verdana"/>
          <w:i/>
          <w:iCs/>
          <w:spacing w:val="2"/>
          <w:sz w:val="19"/>
          <w:szCs w:val="19"/>
          <w:lang w:val="es-ES" w:eastAsia="es-ES"/>
        </w:rPr>
        <w:t xml:space="preserve">la sentencia de fondo que las resuelve; consecuentemente la </w:t>
      </w:r>
      <w:r>
        <w:rPr>
          <w:rFonts w:ascii="Verdana" w:hAnsi="Verdana" w:cs="Verdana"/>
          <w:b/>
          <w:bCs/>
          <w:i/>
          <w:iCs/>
          <w:spacing w:val="2"/>
          <w:sz w:val="19"/>
          <w:szCs w:val="19"/>
          <w:lang w:val="es-ES" w:eastAsia="es-ES"/>
        </w:rPr>
        <w:t xml:space="preserve">legitimación </w:t>
      </w:r>
      <w:r>
        <w:rPr>
          <w:rFonts w:ascii="Verdana" w:hAnsi="Verdana" w:cs="Verdana"/>
          <w:i/>
          <w:iCs/>
          <w:spacing w:val="2"/>
          <w:sz w:val="19"/>
          <w:szCs w:val="19"/>
          <w:lang w:val="es-ES" w:eastAsia="es-ES"/>
        </w:rPr>
        <w:t>en la causa no constituye un presupuesto procesal, en tanto no se refiere al procedimiento o al válido ejercicio de la acción, antes bien se refiere a la relació</w:t>
      </w:r>
      <w:r>
        <w:rPr>
          <w:rFonts w:ascii="Verdana" w:hAnsi="Verdana" w:cs="Verdana"/>
          <w:i/>
          <w:iCs/>
          <w:spacing w:val="2"/>
          <w:sz w:val="19"/>
          <w:szCs w:val="19"/>
          <w:lang w:val="es-ES" w:eastAsia="es-ES"/>
        </w:rPr>
        <w:t xml:space="preserve">n sustancial que debe existir entre actor y demandado y al interés sustancial que se discute en el proceso. La </w:t>
      </w:r>
      <w:r>
        <w:rPr>
          <w:rFonts w:ascii="Verdana" w:hAnsi="Verdana" w:cs="Verdana"/>
          <w:b/>
          <w:bCs/>
          <w:i/>
          <w:iCs/>
          <w:spacing w:val="2"/>
          <w:sz w:val="19"/>
          <w:szCs w:val="19"/>
          <w:lang w:val="es-ES" w:eastAsia="es-ES"/>
        </w:rPr>
        <w:t xml:space="preserve">legitimación </w:t>
      </w:r>
      <w:r>
        <w:rPr>
          <w:rFonts w:ascii="Verdana" w:hAnsi="Verdana" w:cs="Verdana"/>
          <w:i/>
          <w:iCs/>
          <w:spacing w:val="2"/>
          <w:sz w:val="19"/>
          <w:szCs w:val="19"/>
          <w:lang w:val="es-ES" w:eastAsia="es-ES"/>
        </w:rPr>
        <w:t>en la causa se refiere a la relación sustancial que se pretende existente entre las partes del proceso y el interés sustancial en li</w:t>
      </w:r>
      <w:r>
        <w:rPr>
          <w:rFonts w:ascii="Verdana" w:hAnsi="Verdana" w:cs="Verdana"/>
          <w:i/>
          <w:iCs/>
          <w:spacing w:val="2"/>
          <w:sz w:val="19"/>
          <w:szCs w:val="19"/>
          <w:lang w:val="es-ES" w:eastAsia="es-ES"/>
        </w:rPr>
        <w:t xml:space="preserve">tigio. El demandado debe ser la persona a quien le corresponde por la ley oponerse a la pretensión del actor o frente a la cual la ley permite que se declare la relación jurídica sustancial objeto de la demanda; y el actor la persona que a tenor de la ley </w:t>
      </w:r>
      <w:r>
        <w:rPr>
          <w:rFonts w:ascii="Verdana" w:hAnsi="Verdana" w:cs="Verdana"/>
          <w:i/>
          <w:iCs/>
          <w:spacing w:val="2"/>
          <w:sz w:val="19"/>
          <w:szCs w:val="19"/>
          <w:lang w:val="es-ES" w:eastAsia="es-ES"/>
        </w:rPr>
        <w:t>puede formular las pretensiones de la demanda, aunque el derecho sustancial pretendido no exista o le corresponda a otro. Lo anterior significa que no se precisa ser titular o sujeto activo o pasivo del derecho o relación jurídica material, sino del interé</w:t>
      </w:r>
      <w:r>
        <w:rPr>
          <w:rFonts w:ascii="Verdana" w:hAnsi="Verdana" w:cs="Verdana"/>
          <w:i/>
          <w:iCs/>
          <w:spacing w:val="2"/>
          <w:sz w:val="19"/>
          <w:szCs w:val="19"/>
          <w:lang w:val="es-ES" w:eastAsia="es-ES"/>
        </w:rPr>
        <w:t xml:space="preserve">s para que se decida si en efecto existe, esto es se trata de una </w:t>
      </w:r>
      <w:r>
        <w:rPr>
          <w:rFonts w:ascii="Verdana" w:hAnsi="Verdana" w:cs="Verdana"/>
          <w:b/>
          <w:bCs/>
          <w:i/>
          <w:iCs/>
          <w:spacing w:val="2"/>
          <w:sz w:val="19"/>
          <w:szCs w:val="19"/>
          <w:lang w:val="es-ES" w:eastAsia="es-ES"/>
        </w:rPr>
        <w:t xml:space="preserve">legitimación </w:t>
      </w:r>
      <w:r>
        <w:rPr>
          <w:rFonts w:ascii="Verdana" w:hAnsi="Verdana" w:cs="Verdana"/>
          <w:i/>
          <w:iCs/>
          <w:spacing w:val="2"/>
          <w:sz w:val="19"/>
          <w:szCs w:val="19"/>
          <w:lang w:val="es-ES" w:eastAsia="es-ES"/>
        </w:rPr>
        <w:t xml:space="preserve">para obtener sentencia de fondo o mérito. De acuerdo al sujeto legitimado o a su posición en la relación procesal se puede distinguir entre </w:t>
      </w:r>
      <w:r>
        <w:rPr>
          <w:rFonts w:ascii="Verdana" w:hAnsi="Verdana" w:cs="Verdana"/>
          <w:b/>
          <w:bCs/>
          <w:i/>
          <w:iCs/>
          <w:spacing w:val="2"/>
          <w:sz w:val="19"/>
          <w:szCs w:val="19"/>
          <w:lang w:val="es-ES" w:eastAsia="es-ES"/>
        </w:rPr>
        <w:t>legitimación</w:t>
      </w:r>
      <w:r w:rsidR="00727691">
        <w:rPr>
          <w:rFonts w:ascii="Verdana" w:hAnsi="Verdana" w:cs="Verdana"/>
          <w:b/>
          <w:bCs/>
          <w:i/>
          <w:iCs/>
          <w:spacing w:val="2"/>
          <w:sz w:val="19"/>
          <w:szCs w:val="19"/>
          <w:lang w:val="es-ES" w:eastAsia="es-ES"/>
        </w:rPr>
        <w:t xml:space="preserve"> </w:t>
      </w:r>
      <w:r w:rsidRPr="00727691">
        <w:rPr>
          <w:rFonts w:ascii="Verdana" w:hAnsi="Verdana" w:cs="Verdana"/>
          <w:bCs/>
          <w:i/>
          <w:iCs/>
          <w:spacing w:val="2"/>
          <w:sz w:val="19"/>
          <w:szCs w:val="19"/>
          <w:lang w:val="es-ES" w:eastAsia="es-ES"/>
        </w:rPr>
        <w:t>activa</w:t>
      </w:r>
      <w:r>
        <w:rPr>
          <w:rFonts w:ascii="Verdana" w:hAnsi="Verdana" w:cs="Verdana"/>
          <w:b/>
          <w:bCs/>
          <w:i/>
          <w:iCs/>
          <w:spacing w:val="2"/>
          <w:sz w:val="19"/>
          <w:szCs w:val="19"/>
          <w:lang w:val="es-ES" w:eastAsia="es-ES"/>
        </w:rPr>
        <w:t xml:space="preserve"> </w:t>
      </w:r>
      <w:r>
        <w:rPr>
          <w:rFonts w:ascii="Verdana" w:hAnsi="Verdana" w:cs="Verdana"/>
          <w:i/>
          <w:iCs/>
          <w:spacing w:val="2"/>
          <w:sz w:val="19"/>
          <w:szCs w:val="19"/>
          <w:lang w:val="es-ES" w:eastAsia="es-ES"/>
        </w:rPr>
        <w:t>y pasiva, la prime</w:t>
      </w:r>
      <w:r>
        <w:rPr>
          <w:rFonts w:ascii="Verdana" w:hAnsi="Verdana" w:cs="Verdana"/>
          <w:i/>
          <w:iCs/>
          <w:spacing w:val="2"/>
          <w:sz w:val="19"/>
          <w:szCs w:val="19"/>
          <w:lang w:val="es-ES" w:eastAsia="es-ES"/>
        </w:rPr>
        <w:t>ra le corresponde al actor y a las personas que con posterioridad intervengan para</w:t>
      </w:r>
      <w:r w:rsidR="00727691">
        <w:rPr>
          <w:rFonts w:ascii="Verdana" w:hAnsi="Verdana" w:cs="Verdana"/>
          <w:i/>
          <w:iCs/>
          <w:spacing w:val="2"/>
          <w:sz w:val="19"/>
          <w:szCs w:val="19"/>
          <w:lang w:val="es-ES" w:eastAsia="es-ES"/>
        </w:rPr>
        <w:t xml:space="preserve"> </w:t>
      </w:r>
      <w:r>
        <w:rPr>
          <w:rFonts w:ascii="Verdana" w:hAnsi="Verdana" w:cs="Verdana"/>
          <w:i/>
          <w:iCs/>
          <w:spacing w:val="2"/>
          <w:sz w:val="19"/>
          <w:szCs w:val="19"/>
          <w:lang w:val="es-ES" w:eastAsia="es-ES"/>
        </w:rPr>
        <w:t xml:space="preserve">defender su causa, la segunda le pertenece al demandado y a quienes intervengan para discutir y oponerse a la pretensión del actor. La ausencia de </w:t>
      </w:r>
      <w:r>
        <w:rPr>
          <w:rFonts w:ascii="Verdana" w:hAnsi="Verdana" w:cs="Verdana"/>
          <w:b/>
          <w:bCs/>
          <w:i/>
          <w:iCs/>
          <w:spacing w:val="2"/>
          <w:sz w:val="19"/>
          <w:szCs w:val="19"/>
          <w:lang w:val="es-ES" w:eastAsia="es-ES"/>
        </w:rPr>
        <w:t xml:space="preserve">legitimación </w:t>
      </w:r>
      <w:r>
        <w:rPr>
          <w:rFonts w:ascii="Verdana" w:hAnsi="Verdana" w:cs="Verdana"/>
          <w:i/>
          <w:iCs/>
          <w:spacing w:val="2"/>
          <w:sz w:val="19"/>
          <w:szCs w:val="19"/>
          <w:lang w:val="es-ES" w:eastAsia="es-ES"/>
        </w:rPr>
        <w:t>en la causa co</w:t>
      </w:r>
      <w:r>
        <w:rPr>
          <w:rFonts w:ascii="Verdana" w:hAnsi="Verdana" w:cs="Verdana"/>
          <w:i/>
          <w:iCs/>
          <w:spacing w:val="2"/>
          <w:sz w:val="19"/>
          <w:szCs w:val="19"/>
          <w:lang w:val="es-ES" w:eastAsia="es-ES"/>
        </w:rPr>
        <w:t>nstituye un impedimento sustancial, si el juzgador se percata de l</w:t>
      </w:r>
      <w:r w:rsidR="00727691">
        <w:rPr>
          <w:rFonts w:ascii="Verdana" w:hAnsi="Verdana" w:cs="Verdana"/>
          <w:i/>
          <w:iCs/>
          <w:spacing w:val="2"/>
          <w:sz w:val="19"/>
          <w:szCs w:val="19"/>
          <w:lang w:val="es-ES" w:eastAsia="es-ES"/>
        </w:rPr>
        <w:t>a</w:t>
      </w:r>
      <w:r>
        <w:rPr>
          <w:rFonts w:ascii="Verdana" w:hAnsi="Verdana" w:cs="Verdana"/>
          <w:i/>
          <w:iCs/>
          <w:spacing w:val="2"/>
          <w:sz w:val="19"/>
          <w:szCs w:val="19"/>
          <w:lang w:val="es-ES" w:eastAsia="es-ES"/>
        </w:rPr>
        <w:t xml:space="preserve"> falta de la misma, así debe declararlo de oficio y dictar una sentencia inhibitoria, lo que no es óbice para que sea alegada oportunamente como excepción previa... ...La </w:t>
      </w:r>
      <w:r>
        <w:rPr>
          <w:rFonts w:ascii="Verdana" w:hAnsi="Verdana" w:cs="Verdana"/>
          <w:b/>
          <w:bCs/>
          <w:i/>
          <w:iCs/>
          <w:spacing w:val="2"/>
          <w:sz w:val="19"/>
          <w:szCs w:val="19"/>
          <w:lang w:val="es-ES" w:eastAsia="es-ES"/>
        </w:rPr>
        <w:t xml:space="preserve">legitimación </w:t>
      </w:r>
      <w:r>
        <w:rPr>
          <w:rFonts w:ascii="Verdana" w:hAnsi="Verdana" w:cs="Verdana"/>
          <w:i/>
          <w:iCs/>
          <w:spacing w:val="2"/>
          <w:sz w:val="19"/>
          <w:szCs w:val="19"/>
          <w:lang w:val="es-ES" w:eastAsia="es-ES"/>
        </w:rPr>
        <w:t>en la</w:t>
      </w:r>
      <w:r>
        <w:rPr>
          <w:rFonts w:ascii="Verdana" w:hAnsi="Verdana" w:cs="Verdana"/>
          <w:i/>
          <w:iCs/>
          <w:spacing w:val="2"/>
          <w:sz w:val="19"/>
          <w:szCs w:val="19"/>
          <w:lang w:val="es-ES" w:eastAsia="es-ES"/>
        </w:rPr>
        <w:t xml:space="preserve"> causa demás de determinar quienes pueden actuar en el proceso con derecho a obtener sentencia de fondo, señala o determina a quiénes deben estar presentes para hacer posible la sentencia de fondo..." . (Resolución de las 15 horas 10 minutos del 24 de sept</w:t>
      </w:r>
      <w:r>
        <w:rPr>
          <w:rFonts w:ascii="Verdana" w:hAnsi="Verdana" w:cs="Verdana"/>
          <w:i/>
          <w:iCs/>
          <w:spacing w:val="2"/>
          <w:sz w:val="19"/>
          <w:szCs w:val="19"/>
          <w:lang w:val="es-ES" w:eastAsia="es-ES"/>
        </w:rPr>
        <w:t xml:space="preserve">iembre de 1997, correspondiente al voto número 83). Entonces, según se ha visto, se debe entender la </w:t>
      </w:r>
      <w:r>
        <w:rPr>
          <w:rFonts w:ascii="Verdana" w:hAnsi="Verdana" w:cs="Verdana"/>
          <w:b/>
          <w:bCs/>
          <w:i/>
          <w:iCs/>
          <w:spacing w:val="2"/>
          <w:sz w:val="19"/>
          <w:szCs w:val="19"/>
          <w:lang w:val="es-ES" w:eastAsia="es-ES"/>
        </w:rPr>
        <w:t xml:space="preserve">legitimación </w:t>
      </w:r>
      <w:r>
        <w:rPr>
          <w:rFonts w:ascii="Verdana" w:hAnsi="Verdana" w:cs="Verdana"/>
          <w:i/>
          <w:iCs/>
          <w:spacing w:val="2"/>
          <w:sz w:val="19"/>
          <w:szCs w:val="19"/>
          <w:lang w:val="es-ES" w:eastAsia="es-ES"/>
        </w:rPr>
        <w:t>como un presupuesto de fondo necesario para la procedencia de la pretensión material, es decir, será parte legítima quien alega tener una dete</w:t>
      </w:r>
      <w:r>
        <w:rPr>
          <w:rFonts w:ascii="Verdana" w:hAnsi="Verdana" w:cs="Verdana"/>
          <w:i/>
          <w:iCs/>
          <w:spacing w:val="2"/>
          <w:sz w:val="19"/>
          <w:szCs w:val="19"/>
          <w:lang w:val="es-ES" w:eastAsia="es-ES"/>
        </w:rPr>
        <w:t xml:space="preserve">rminada relación jurídica con la petitoria debatida. Ahora bien, según se ha visto, el vínculo entre la </w:t>
      </w:r>
      <w:r>
        <w:rPr>
          <w:rFonts w:ascii="Verdana" w:hAnsi="Verdana" w:cs="Verdana"/>
          <w:b/>
          <w:bCs/>
          <w:i/>
          <w:iCs/>
          <w:spacing w:val="2"/>
          <w:sz w:val="19"/>
          <w:szCs w:val="19"/>
          <w:lang w:val="es-ES" w:eastAsia="es-ES"/>
        </w:rPr>
        <w:t xml:space="preserve">legitimación </w:t>
      </w:r>
      <w:r>
        <w:rPr>
          <w:rFonts w:ascii="Verdana" w:hAnsi="Verdana" w:cs="Verdana"/>
          <w:i/>
          <w:iCs/>
          <w:spacing w:val="2"/>
          <w:sz w:val="19"/>
          <w:szCs w:val="19"/>
          <w:lang w:val="es-ES" w:eastAsia="es-ES"/>
        </w:rPr>
        <w:t xml:space="preserve">y el interés actual es estrecho, siendo ambos presupuestos de fondo, los cuales deben ser revisados por los juzgadores en todo momento con </w:t>
      </w:r>
      <w:r>
        <w:rPr>
          <w:rFonts w:ascii="Verdana" w:hAnsi="Verdana" w:cs="Verdana"/>
          <w:i/>
          <w:iCs/>
          <w:spacing w:val="2"/>
          <w:sz w:val="19"/>
          <w:szCs w:val="19"/>
          <w:lang w:val="es-ES" w:eastAsia="es-ES"/>
        </w:rPr>
        <w:t xml:space="preserve">el fin de verificar que pueda haber un pronunciamiento válido sobre lo debatido en el proceso y se deben mantener durante el desarrollo de todo el proceso'. No. 604 de las 10 horas del 17 de agosto de 2007. En consecuencia, la </w:t>
      </w:r>
      <w:r>
        <w:rPr>
          <w:rFonts w:ascii="Verdana" w:hAnsi="Verdana" w:cs="Verdana"/>
          <w:b/>
          <w:bCs/>
          <w:i/>
          <w:iCs/>
          <w:spacing w:val="2"/>
          <w:sz w:val="19"/>
          <w:szCs w:val="19"/>
          <w:lang w:val="es-ES" w:eastAsia="es-ES"/>
        </w:rPr>
        <w:t xml:space="preserve">legitimación </w:t>
      </w:r>
      <w:r>
        <w:rPr>
          <w:rFonts w:ascii="Verdana" w:hAnsi="Verdana" w:cs="Verdana"/>
          <w:i/>
          <w:iCs/>
          <w:spacing w:val="2"/>
          <w:sz w:val="19"/>
          <w:szCs w:val="19"/>
          <w:lang w:val="es-ES" w:eastAsia="es-ES"/>
        </w:rPr>
        <w:t>es la aptitud pa</w:t>
      </w:r>
      <w:r>
        <w:rPr>
          <w:rFonts w:ascii="Verdana" w:hAnsi="Verdana" w:cs="Verdana"/>
          <w:i/>
          <w:iCs/>
          <w:spacing w:val="2"/>
          <w:sz w:val="19"/>
          <w:szCs w:val="19"/>
          <w:lang w:val="es-ES" w:eastAsia="es-ES"/>
        </w:rPr>
        <w:t xml:space="preserve">ra ser parte en un proceso concreto, puede ser activa o pasiva, lo cual dependerá de las condiciones que para tal efecto establezca la ley en cuanto la pretensión procesal. Así, la </w:t>
      </w:r>
      <w:r>
        <w:rPr>
          <w:rFonts w:ascii="Verdana" w:hAnsi="Verdana" w:cs="Verdana"/>
          <w:b/>
          <w:bCs/>
          <w:i/>
          <w:iCs/>
          <w:spacing w:val="2"/>
          <w:sz w:val="19"/>
          <w:szCs w:val="19"/>
          <w:lang w:val="es-ES" w:eastAsia="es-ES"/>
        </w:rPr>
        <w:t xml:space="preserve">legitimación </w:t>
      </w:r>
      <w:r>
        <w:rPr>
          <w:rFonts w:ascii="Verdana" w:hAnsi="Verdana" w:cs="Verdana"/>
          <w:i/>
          <w:iCs/>
          <w:spacing w:val="2"/>
          <w:sz w:val="19"/>
          <w:szCs w:val="19"/>
          <w:lang w:val="es-ES" w:eastAsia="es-ES"/>
        </w:rPr>
        <w:t xml:space="preserve">ad </w:t>
      </w:r>
      <w:proofErr w:type="spellStart"/>
      <w:r>
        <w:rPr>
          <w:rFonts w:ascii="Verdana" w:hAnsi="Verdana" w:cs="Verdana"/>
          <w:i/>
          <w:iCs/>
          <w:spacing w:val="2"/>
          <w:sz w:val="19"/>
          <w:szCs w:val="19"/>
          <w:lang w:val="es-ES" w:eastAsia="es-ES"/>
        </w:rPr>
        <w:t>causam</w:t>
      </w:r>
      <w:proofErr w:type="spellEnd"/>
      <w:r>
        <w:rPr>
          <w:rFonts w:ascii="Verdana" w:hAnsi="Verdana" w:cs="Verdana"/>
          <w:i/>
          <w:iCs/>
          <w:spacing w:val="2"/>
          <w:sz w:val="19"/>
          <w:szCs w:val="19"/>
          <w:lang w:val="es-ES" w:eastAsia="es-ES"/>
        </w:rPr>
        <w:t xml:space="preserve"> activa, que interesa en el caso en estudio, es la ca</w:t>
      </w:r>
      <w:r>
        <w:rPr>
          <w:rFonts w:ascii="Verdana" w:hAnsi="Verdana" w:cs="Verdana"/>
          <w:i/>
          <w:iCs/>
          <w:spacing w:val="2"/>
          <w:sz w:val="19"/>
          <w:szCs w:val="19"/>
          <w:lang w:val="es-ES" w:eastAsia="es-ES"/>
        </w:rPr>
        <w:t>pacidad para demandar, carácter que nace de la posición en que se halle el sujeto, respecto a la pretensión procesal promovida. En suma, es la identidad necesaria que debe darse entre el actor y el derecho que pretenda en juicio'. Fallo no. 778 de las 14 h</w:t>
      </w:r>
      <w:r>
        <w:rPr>
          <w:rFonts w:ascii="Verdana" w:hAnsi="Verdana" w:cs="Verdana"/>
          <w:i/>
          <w:iCs/>
          <w:spacing w:val="2"/>
          <w:sz w:val="19"/>
          <w:szCs w:val="19"/>
          <w:lang w:val="es-ES" w:eastAsia="es-ES"/>
        </w:rPr>
        <w:t xml:space="preserve">oras 50 minutos del 28 de julio de 2009. Así, para que la parte cuente con </w:t>
      </w:r>
      <w:r>
        <w:rPr>
          <w:rFonts w:ascii="Verdana" w:hAnsi="Verdana" w:cs="Verdana"/>
          <w:b/>
          <w:bCs/>
          <w:i/>
          <w:iCs/>
          <w:spacing w:val="2"/>
          <w:sz w:val="19"/>
          <w:szCs w:val="19"/>
          <w:lang w:val="es-ES" w:eastAsia="es-ES"/>
        </w:rPr>
        <w:t xml:space="preserve">legitimación </w:t>
      </w:r>
      <w:r>
        <w:rPr>
          <w:rFonts w:ascii="Verdana" w:hAnsi="Verdana" w:cs="Verdana"/>
          <w:i/>
          <w:iCs/>
          <w:spacing w:val="2"/>
          <w:sz w:val="19"/>
          <w:szCs w:val="19"/>
          <w:lang w:val="es-ES" w:eastAsia="es-ES"/>
        </w:rPr>
        <w:t>debe tener una determinada relación jurídica con la petitoria discutida, dicho lazo es el que se produce entre actor y demandado en virtud de lo que se debate en el pro</w:t>
      </w:r>
      <w:r>
        <w:rPr>
          <w:rFonts w:ascii="Verdana" w:hAnsi="Verdana" w:cs="Verdana"/>
          <w:i/>
          <w:iCs/>
          <w:spacing w:val="2"/>
          <w:sz w:val="19"/>
          <w:szCs w:val="19"/>
          <w:lang w:val="es-ES" w:eastAsia="es-ES"/>
        </w:rPr>
        <w:t xml:space="preserve">ceso. Consecuentemente, la falta de </w:t>
      </w:r>
      <w:r>
        <w:rPr>
          <w:rFonts w:ascii="Verdana" w:hAnsi="Verdana" w:cs="Verdana"/>
          <w:b/>
          <w:bCs/>
          <w:i/>
          <w:iCs/>
          <w:spacing w:val="2"/>
          <w:sz w:val="19"/>
          <w:szCs w:val="19"/>
          <w:lang w:val="es-ES" w:eastAsia="es-ES"/>
        </w:rPr>
        <w:t xml:space="preserve">legitimación </w:t>
      </w:r>
      <w:r>
        <w:rPr>
          <w:rFonts w:ascii="Verdana" w:hAnsi="Verdana" w:cs="Verdana"/>
          <w:i/>
          <w:iCs/>
          <w:spacing w:val="2"/>
          <w:sz w:val="19"/>
          <w:szCs w:val="19"/>
          <w:lang w:val="es-ES" w:eastAsia="es-ES"/>
        </w:rPr>
        <w:t>en la causa constituye un impedimento sustancial para una sentencia estimatoria, ya que es la que determina quiénes deben actuar en el proceso."</w:t>
      </w:r>
    </w:p>
    <w:p w:rsidR="00000000" w:rsidRDefault="00712799">
      <w:pPr>
        <w:kinsoku w:val="0"/>
        <w:overflowPunct w:val="0"/>
        <w:autoSpaceDE/>
        <w:autoSpaceDN/>
        <w:adjustRightInd/>
        <w:spacing w:before="280" w:line="316" w:lineRule="exact"/>
        <w:jc w:val="both"/>
        <w:textAlignment w:val="baseline"/>
        <w:rPr>
          <w:rFonts w:ascii="Verdana" w:hAnsi="Verdana" w:cs="Verdana"/>
          <w:b/>
          <w:bCs/>
          <w:spacing w:val="-1"/>
          <w:sz w:val="19"/>
          <w:szCs w:val="19"/>
          <w:lang w:val="es-ES" w:eastAsia="es-ES"/>
        </w:rPr>
      </w:pPr>
      <w:r>
        <w:rPr>
          <w:rFonts w:ascii="Verdana" w:hAnsi="Verdana" w:cs="Verdana"/>
          <w:spacing w:val="-1"/>
          <w:sz w:val="22"/>
          <w:szCs w:val="22"/>
          <w:lang w:val="es-ES" w:eastAsia="es-ES"/>
        </w:rPr>
        <w:t xml:space="preserve">Así las cosas </w:t>
      </w:r>
      <w:proofErr w:type="gramStart"/>
      <w:r>
        <w:rPr>
          <w:rFonts w:ascii="Verdana" w:hAnsi="Verdana" w:cs="Verdana"/>
          <w:spacing w:val="-1"/>
          <w:sz w:val="22"/>
          <w:szCs w:val="22"/>
          <w:lang w:val="es-ES" w:eastAsia="es-ES"/>
        </w:rPr>
        <w:t>debe</w:t>
      </w:r>
      <w:proofErr w:type="gramEnd"/>
      <w:r>
        <w:rPr>
          <w:rFonts w:ascii="Verdana" w:hAnsi="Verdana" w:cs="Verdana"/>
          <w:spacing w:val="-1"/>
          <w:sz w:val="22"/>
          <w:szCs w:val="22"/>
          <w:lang w:val="es-ES" w:eastAsia="es-ES"/>
        </w:rPr>
        <w:t xml:space="preserve"> rechazarse el Recurso de Apelación en subsi</w:t>
      </w:r>
      <w:r>
        <w:rPr>
          <w:rFonts w:ascii="Verdana" w:hAnsi="Verdana" w:cs="Verdana"/>
          <w:spacing w:val="-1"/>
          <w:sz w:val="22"/>
          <w:szCs w:val="22"/>
          <w:lang w:val="es-ES" w:eastAsia="es-ES"/>
        </w:rPr>
        <w:t xml:space="preserve">dio presentado por la empresa </w:t>
      </w:r>
      <w:r>
        <w:rPr>
          <w:rFonts w:ascii="Verdana" w:hAnsi="Verdana" w:cs="Verdana"/>
          <w:b/>
          <w:bCs/>
          <w:spacing w:val="-1"/>
          <w:sz w:val="19"/>
          <w:szCs w:val="19"/>
          <w:lang w:val="es-ES" w:eastAsia="es-ES"/>
        </w:rPr>
        <w:t>C</w:t>
      </w:r>
      <w:r w:rsidR="00727691">
        <w:rPr>
          <w:rFonts w:ascii="Verdana" w:hAnsi="Verdana" w:cs="Verdana"/>
          <w:b/>
          <w:bCs/>
          <w:spacing w:val="-1"/>
          <w:sz w:val="19"/>
          <w:szCs w:val="19"/>
          <w:lang w:val="es-ES" w:eastAsia="es-ES"/>
        </w:rPr>
        <w:t>.T.S.R.A.</w:t>
      </w:r>
    </w:p>
    <w:p w:rsidR="00000000" w:rsidRDefault="00712799">
      <w:pPr>
        <w:widowControl/>
        <w:rPr>
          <w:sz w:val="24"/>
          <w:szCs w:val="24"/>
        </w:rPr>
        <w:sectPr w:rsidR="00000000">
          <w:pgSz w:w="12240" w:h="15840"/>
          <w:pgMar w:top="1360" w:right="2215" w:bottom="250" w:left="1965" w:header="720" w:footer="720" w:gutter="0"/>
          <w:cols w:space="720"/>
          <w:noEndnote/>
        </w:sectPr>
      </w:pPr>
    </w:p>
    <w:p w:rsidR="00000000" w:rsidRDefault="00712799">
      <w:pPr>
        <w:tabs>
          <w:tab w:val="left" w:pos="2880"/>
        </w:tabs>
        <w:kinsoku w:val="0"/>
        <w:overflowPunct w:val="0"/>
        <w:autoSpaceDE/>
        <w:autoSpaceDN/>
        <w:adjustRightInd/>
        <w:spacing w:before="12" w:line="314"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S.A., </w:t>
      </w:r>
      <w:r w:rsidR="00727691">
        <w:rPr>
          <w:rFonts w:ascii="Verdana" w:hAnsi="Verdana" w:cs="Verdana"/>
          <w:sz w:val="22"/>
          <w:szCs w:val="22"/>
          <w:lang w:val="es-ES" w:eastAsia="es-ES"/>
        </w:rPr>
        <w:t xml:space="preserve">cédula jurídica </w:t>
      </w:r>
      <w:proofErr w:type="gramStart"/>
      <w:r>
        <w:rPr>
          <w:rFonts w:ascii="Verdana" w:hAnsi="Verdana" w:cs="Verdana"/>
          <w:sz w:val="22"/>
          <w:szCs w:val="22"/>
          <w:lang w:val="es-ES" w:eastAsia="es-ES"/>
        </w:rPr>
        <w:t xml:space="preserve">número </w:t>
      </w:r>
      <w:r w:rsidR="00727691">
        <w:rPr>
          <w:rFonts w:ascii="Verdana" w:hAnsi="Verdana" w:cs="Verdana"/>
          <w:sz w:val="22"/>
          <w:szCs w:val="22"/>
          <w:lang w:val="es-ES" w:eastAsia="es-ES"/>
        </w:rPr>
        <w:t>…</w:t>
      </w:r>
      <w:proofErr w:type="gramEnd"/>
      <w:r>
        <w:rPr>
          <w:rFonts w:ascii="Verdana" w:hAnsi="Verdana" w:cs="Verdana"/>
          <w:sz w:val="22"/>
          <w:szCs w:val="22"/>
          <w:lang w:val="es-ES" w:eastAsia="es-ES"/>
        </w:rPr>
        <w:t xml:space="preserve">, por medio de su Apoderado Generalísimo sin Límite de Suma señor </w:t>
      </w:r>
      <w:r>
        <w:rPr>
          <w:rFonts w:ascii="Verdana" w:hAnsi="Verdana" w:cs="Verdana"/>
          <w:b/>
          <w:bCs/>
          <w:sz w:val="22"/>
          <w:szCs w:val="22"/>
          <w:lang w:val="es-ES" w:eastAsia="es-ES"/>
        </w:rPr>
        <w:t>V</w:t>
      </w:r>
      <w:r w:rsidR="00727691">
        <w:rPr>
          <w:rFonts w:ascii="Verdana" w:hAnsi="Verdana" w:cs="Verdana"/>
          <w:b/>
          <w:bCs/>
          <w:sz w:val="22"/>
          <w:szCs w:val="22"/>
          <w:lang w:val="es-ES" w:eastAsia="es-ES"/>
        </w:rPr>
        <w:t>.M.H.V.</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w:t>
      </w:r>
      <w:r>
        <w:rPr>
          <w:rFonts w:ascii="Verdana" w:hAnsi="Verdana" w:cs="Verdana"/>
          <w:sz w:val="22"/>
          <w:szCs w:val="22"/>
          <w:lang w:val="es-ES" w:eastAsia="es-ES"/>
        </w:rPr>
        <w:t xml:space="preserve">de identidad </w:t>
      </w:r>
      <w:r w:rsidR="00727691">
        <w:rPr>
          <w:rFonts w:ascii="Verdana" w:hAnsi="Verdana" w:cs="Verdana"/>
          <w:sz w:val="22"/>
          <w:szCs w:val="22"/>
          <w:lang w:val="es-ES" w:eastAsia="es-ES"/>
        </w:rPr>
        <w:t>..</w:t>
      </w:r>
      <w:r>
        <w:rPr>
          <w:rFonts w:ascii="Verdana" w:hAnsi="Verdana" w:cs="Verdana"/>
          <w:sz w:val="22"/>
          <w:szCs w:val="22"/>
          <w:lang w:val="es-ES" w:eastAsia="es-ES"/>
        </w:rPr>
        <w:t>.</w:t>
      </w:r>
    </w:p>
    <w:p w:rsidR="00000000" w:rsidRDefault="00712799">
      <w:pPr>
        <w:kinsoku w:val="0"/>
        <w:overflowPunct w:val="0"/>
        <w:autoSpaceDE/>
        <w:autoSpaceDN/>
        <w:adjustRightInd/>
        <w:spacing w:before="357" w:line="262"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000000" w:rsidRDefault="00712799">
      <w:pPr>
        <w:numPr>
          <w:ilvl w:val="0"/>
          <w:numId w:val="1"/>
        </w:numPr>
        <w:kinsoku w:val="0"/>
        <w:overflowPunct w:val="0"/>
        <w:autoSpaceDE/>
        <w:autoSpaceDN/>
        <w:adjustRightInd/>
        <w:spacing w:before="295" w:line="322"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Se rechaza por Falta de Legitimación el Recurso de Apelación interpuesto por la empresa </w:t>
      </w:r>
      <w:r>
        <w:rPr>
          <w:rFonts w:ascii="Verdana" w:hAnsi="Verdana" w:cs="Verdana"/>
          <w:b/>
          <w:bCs/>
          <w:sz w:val="22"/>
          <w:szCs w:val="22"/>
          <w:lang w:val="es-ES" w:eastAsia="es-ES"/>
        </w:rPr>
        <w:t>C</w:t>
      </w:r>
      <w:r w:rsidR="00727691">
        <w:rPr>
          <w:rFonts w:ascii="Verdana" w:hAnsi="Verdana" w:cs="Verdana"/>
          <w:b/>
          <w:bCs/>
          <w:sz w:val="22"/>
          <w:szCs w:val="22"/>
          <w:lang w:val="es-ES" w:eastAsia="es-ES"/>
        </w:rPr>
        <w:t>.T.S.R.A.S.A.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jurídica número </w:t>
      </w:r>
      <w:r w:rsidR="00727691">
        <w:rPr>
          <w:rFonts w:ascii="Verdana" w:hAnsi="Verdana" w:cs="Verdana"/>
          <w:sz w:val="22"/>
          <w:szCs w:val="22"/>
          <w:lang w:val="es-ES" w:eastAsia="es-ES"/>
        </w:rPr>
        <w:t>…</w:t>
      </w:r>
      <w:r>
        <w:rPr>
          <w:rFonts w:ascii="Verdana" w:hAnsi="Verdana" w:cs="Verdana"/>
          <w:sz w:val="22"/>
          <w:szCs w:val="22"/>
          <w:lang w:val="es-ES" w:eastAsia="es-ES"/>
        </w:rPr>
        <w:t>, por medio de su Apoderado Generalísimo sin Lí</w:t>
      </w:r>
      <w:r>
        <w:rPr>
          <w:rFonts w:ascii="Verdana" w:hAnsi="Verdana" w:cs="Verdana"/>
          <w:sz w:val="22"/>
          <w:szCs w:val="22"/>
          <w:lang w:val="es-ES" w:eastAsia="es-ES"/>
        </w:rPr>
        <w:t xml:space="preserve">mite de Suma señor </w:t>
      </w:r>
      <w:r>
        <w:rPr>
          <w:rFonts w:ascii="Verdana" w:hAnsi="Verdana" w:cs="Verdana"/>
          <w:b/>
          <w:bCs/>
          <w:sz w:val="22"/>
          <w:szCs w:val="22"/>
          <w:lang w:val="es-ES" w:eastAsia="es-ES"/>
        </w:rPr>
        <w:t>V</w:t>
      </w:r>
      <w:r w:rsidR="00727691">
        <w:rPr>
          <w:rFonts w:ascii="Verdana" w:hAnsi="Verdana" w:cs="Verdana"/>
          <w:b/>
          <w:bCs/>
          <w:sz w:val="22"/>
          <w:szCs w:val="22"/>
          <w:lang w:val="es-ES" w:eastAsia="es-ES"/>
        </w:rPr>
        <w:t>.M.H.V.</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w:t>
      </w:r>
      <w:r w:rsidR="00727691">
        <w:rPr>
          <w:rFonts w:ascii="Verdana" w:hAnsi="Verdana" w:cs="Verdana"/>
          <w:sz w:val="22"/>
          <w:szCs w:val="22"/>
          <w:lang w:val="es-ES" w:eastAsia="es-ES"/>
        </w:rPr>
        <w:t>…</w:t>
      </w:r>
      <w:r>
        <w:rPr>
          <w:rFonts w:ascii="Verdana" w:hAnsi="Verdana" w:cs="Verdana"/>
          <w:sz w:val="22"/>
          <w:szCs w:val="22"/>
          <w:lang w:val="es-ES" w:eastAsia="es-ES"/>
        </w:rPr>
        <w:t xml:space="preserve">, en contra del </w:t>
      </w:r>
      <w:r>
        <w:rPr>
          <w:rFonts w:ascii="Verdana" w:hAnsi="Verdana" w:cs="Verdana"/>
          <w:b/>
          <w:bCs/>
          <w:sz w:val="22"/>
          <w:szCs w:val="22"/>
          <w:lang w:val="es-ES" w:eastAsia="es-ES"/>
        </w:rPr>
        <w:t xml:space="preserve">Artículo 7.1 de la Sesión Ordinaria N. 49-2013 </w:t>
      </w:r>
      <w:r>
        <w:rPr>
          <w:rFonts w:ascii="Verdana" w:hAnsi="Verdana" w:cs="Verdana"/>
          <w:sz w:val="22"/>
          <w:szCs w:val="22"/>
          <w:lang w:val="es-ES" w:eastAsia="es-ES"/>
        </w:rPr>
        <w:t>de 18 de julio de 2013, dictado por la JUNTA DIRECTIVA DEL CONSEJO DE TRANSPORTE PÚBLICO.</w:t>
      </w:r>
    </w:p>
    <w:p w:rsidR="00000000" w:rsidRDefault="00712799">
      <w:pPr>
        <w:numPr>
          <w:ilvl w:val="0"/>
          <w:numId w:val="2"/>
        </w:numPr>
        <w:kinsoku w:val="0"/>
        <w:overflowPunct w:val="0"/>
        <w:autoSpaceDE/>
        <w:autoSpaceDN/>
        <w:adjustRightInd/>
        <w:spacing w:before="316" w:line="322" w:lineRule="exact"/>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De conformidad</w:t>
      </w:r>
      <w:r>
        <w:rPr>
          <w:rFonts w:ascii="Verdana" w:hAnsi="Verdana" w:cs="Verdana"/>
          <w:sz w:val="22"/>
          <w:szCs w:val="22"/>
          <w:lang w:val="es-ES" w:eastAsia="es-ES"/>
        </w:rPr>
        <w:t xml:space="preserve"> con el artículo 22, inciso c), de la citada Ley 7969, la presente resolución no tiene ulterior recurso por lo que, se </w:t>
      </w:r>
      <w:r>
        <w:rPr>
          <w:rFonts w:ascii="Verdana" w:hAnsi="Verdana" w:cs="Verdana"/>
          <w:i/>
          <w:iCs/>
          <w:sz w:val="22"/>
          <w:szCs w:val="22"/>
          <w:lang w:val="es-ES" w:eastAsia="es-ES"/>
        </w:rPr>
        <w:t xml:space="preserve">tiene por agotada la vía administrativa. </w:t>
      </w:r>
      <w:r>
        <w:rPr>
          <w:rFonts w:ascii="Verdana" w:hAnsi="Verdana" w:cs="Verdana"/>
          <w:b/>
          <w:bCs/>
          <w:sz w:val="22"/>
          <w:szCs w:val="22"/>
          <w:lang w:val="es-ES" w:eastAsia="es-ES"/>
        </w:rPr>
        <w:t>NOTIFIQUESE.</w:t>
      </w:r>
    </w:p>
    <w:p w:rsidR="00727691" w:rsidRDefault="00727691" w:rsidP="00727691">
      <w:pPr>
        <w:kinsoku w:val="0"/>
        <w:overflowPunct w:val="0"/>
        <w:autoSpaceDE/>
        <w:autoSpaceDN/>
        <w:adjustRightInd/>
        <w:spacing w:before="316" w:line="322" w:lineRule="exact"/>
        <w:jc w:val="both"/>
        <w:textAlignment w:val="baseline"/>
        <w:rPr>
          <w:rFonts w:ascii="Verdana" w:hAnsi="Verdana" w:cs="Verdana"/>
          <w:b/>
          <w:bCs/>
          <w:sz w:val="22"/>
          <w:szCs w:val="22"/>
          <w:lang w:val="es-ES" w:eastAsia="es-ES"/>
        </w:rPr>
      </w:pPr>
    </w:p>
    <w:p w:rsidR="00727691" w:rsidRPr="00830B52" w:rsidRDefault="00727691" w:rsidP="00727691">
      <w:pPr>
        <w:pStyle w:val="Style4"/>
        <w:kinsoku w:val="0"/>
        <w:autoSpaceDE/>
        <w:ind w:left="144"/>
        <w:jc w:val="center"/>
        <w:rPr>
          <w:rStyle w:val="CharacterStyle4"/>
          <w:spacing w:val="2"/>
          <w:w w:val="105"/>
          <w:sz w:val="24"/>
          <w:lang w:val="es-ES" w:eastAsia="es-ES"/>
        </w:rPr>
      </w:pPr>
      <w:r w:rsidRPr="00830B52">
        <w:rPr>
          <w:rStyle w:val="CharacterStyle4"/>
          <w:spacing w:val="2"/>
          <w:w w:val="105"/>
          <w:sz w:val="24"/>
          <w:lang w:val="es-ES" w:eastAsia="es-ES"/>
        </w:rPr>
        <w:t>Lic. Carlos Miguel Portuguez Méndez</w:t>
      </w:r>
    </w:p>
    <w:p w:rsidR="00727691" w:rsidRPr="00830B52" w:rsidRDefault="00727691" w:rsidP="00727691">
      <w:pPr>
        <w:pStyle w:val="Style4"/>
        <w:kinsoku w:val="0"/>
        <w:autoSpaceDE/>
        <w:ind w:left="144"/>
        <w:jc w:val="center"/>
        <w:rPr>
          <w:rStyle w:val="CharacterStyle4"/>
          <w:b/>
          <w:spacing w:val="2"/>
          <w:w w:val="105"/>
          <w:sz w:val="24"/>
          <w:lang w:val="es-ES" w:eastAsia="es-ES"/>
        </w:rPr>
      </w:pPr>
      <w:r w:rsidRPr="00830B52">
        <w:rPr>
          <w:rStyle w:val="CharacterStyle4"/>
          <w:b/>
          <w:spacing w:val="2"/>
          <w:w w:val="105"/>
          <w:sz w:val="24"/>
          <w:lang w:val="es-ES" w:eastAsia="es-ES"/>
        </w:rPr>
        <w:t>Presidente</w:t>
      </w:r>
    </w:p>
    <w:p w:rsidR="00727691" w:rsidRPr="00830B52" w:rsidRDefault="00727691" w:rsidP="00727691">
      <w:pPr>
        <w:pStyle w:val="Style4"/>
        <w:kinsoku w:val="0"/>
        <w:autoSpaceDE/>
        <w:ind w:left="144"/>
        <w:rPr>
          <w:rStyle w:val="CharacterStyle4"/>
          <w:spacing w:val="2"/>
          <w:w w:val="105"/>
          <w:sz w:val="24"/>
          <w:lang w:val="es-ES" w:eastAsia="es-ES"/>
        </w:rPr>
      </w:pPr>
    </w:p>
    <w:p w:rsidR="00727691" w:rsidRPr="00830B52" w:rsidRDefault="00727691" w:rsidP="00727691">
      <w:pPr>
        <w:pStyle w:val="Style4"/>
        <w:kinsoku w:val="0"/>
        <w:autoSpaceDE/>
        <w:ind w:left="144"/>
        <w:rPr>
          <w:rStyle w:val="CharacterStyle4"/>
          <w:spacing w:val="2"/>
          <w:w w:val="105"/>
          <w:sz w:val="24"/>
          <w:lang w:val="es-ES" w:eastAsia="es-ES"/>
        </w:rPr>
      </w:pPr>
    </w:p>
    <w:p w:rsidR="00727691" w:rsidRPr="00830B52" w:rsidRDefault="00727691" w:rsidP="00727691">
      <w:pPr>
        <w:pStyle w:val="Style4"/>
        <w:kinsoku w:val="0"/>
        <w:autoSpaceDE/>
        <w:ind w:left="144"/>
        <w:rPr>
          <w:rStyle w:val="CharacterStyle4"/>
          <w:spacing w:val="2"/>
          <w:w w:val="105"/>
          <w:sz w:val="24"/>
          <w:lang w:val="es-ES" w:eastAsia="es-ES"/>
        </w:rPr>
      </w:pPr>
    </w:p>
    <w:p w:rsidR="00727691" w:rsidRPr="00830B52" w:rsidRDefault="00727691" w:rsidP="00727691">
      <w:pPr>
        <w:pStyle w:val="Style4"/>
        <w:kinsoku w:val="0"/>
        <w:autoSpaceDE/>
        <w:ind w:left="144"/>
        <w:rPr>
          <w:rStyle w:val="CharacterStyle4"/>
          <w:spacing w:val="2"/>
          <w:w w:val="105"/>
          <w:sz w:val="24"/>
          <w:lang w:val="es-ES" w:eastAsia="es-ES"/>
        </w:rPr>
      </w:pPr>
    </w:p>
    <w:p w:rsidR="00727691" w:rsidRPr="00830B52" w:rsidRDefault="00727691" w:rsidP="00727691">
      <w:pPr>
        <w:pStyle w:val="Style4"/>
        <w:kinsoku w:val="0"/>
        <w:autoSpaceDE/>
        <w:ind w:left="144"/>
        <w:rPr>
          <w:rStyle w:val="CharacterStyle4"/>
          <w:spacing w:val="2"/>
          <w:w w:val="105"/>
          <w:sz w:val="24"/>
          <w:lang w:val="es-ES" w:eastAsia="es-ES"/>
        </w:rPr>
      </w:pPr>
      <w:r w:rsidRPr="00830B52">
        <w:rPr>
          <w:rStyle w:val="CharacterStyle4"/>
          <w:spacing w:val="2"/>
          <w:w w:val="105"/>
          <w:sz w:val="24"/>
          <w:lang w:val="es-ES" w:eastAsia="es-ES"/>
        </w:rPr>
        <w:t>Licda. Marta Luz Pérez Peláez</w:t>
      </w:r>
      <w:r w:rsidRPr="00830B52">
        <w:rPr>
          <w:rStyle w:val="CharacterStyle4"/>
          <w:spacing w:val="2"/>
          <w:w w:val="105"/>
          <w:sz w:val="24"/>
          <w:lang w:val="es-ES" w:eastAsia="es-ES"/>
        </w:rPr>
        <w:tab/>
      </w:r>
      <w:r w:rsidRPr="00830B52">
        <w:rPr>
          <w:rStyle w:val="CharacterStyle4"/>
          <w:spacing w:val="2"/>
          <w:w w:val="105"/>
          <w:sz w:val="24"/>
          <w:lang w:val="es-ES" w:eastAsia="es-ES"/>
        </w:rPr>
        <w:tab/>
        <w:t xml:space="preserve">               Lic. Mario Quesada Aguirre</w:t>
      </w:r>
    </w:p>
    <w:p w:rsidR="00727691" w:rsidRDefault="00727691" w:rsidP="00727691">
      <w:pPr>
        <w:kinsoku w:val="0"/>
        <w:overflowPunct w:val="0"/>
        <w:autoSpaceDE/>
        <w:autoSpaceDN/>
        <w:adjustRightInd/>
        <w:spacing w:before="309" w:after="138" w:line="313" w:lineRule="exact"/>
        <w:ind w:right="576"/>
        <w:jc w:val="both"/>
        <w:textAlignment w:val="baseline"/>
        <w:rPr>
          <w:rFonts w:ascii="Verdana" w:hAnsi="Verdana" w:cs="Verdana"/>
          <w:b/>
          <w:bCs/>
          <w:sz w:val="22"/>
          <w:szCs w:val="22"/>
          <w:lang w:val="es-ES" w:eastAsia="es-ES"/>
        </w:rPr>
      </w:pPr>
      <w:r w:rsidRPr="00830B52">
        <w:rPr>
          <w:rStyle w:val="CharacterStyle4"/>
          <w:spacing w:val="2"/>
          <w:w w:val="105"/>
          <w:sz w:val="24"/>
          <w:lang w:val="es-ES" w:eastAsia="es-ES"/>
        </w:rPr>
        <w:tab/>
        <w:t xml:space="preserve">       </w:t>
      </w:r>
      <w:r w:rsidRPr="00830B52">
        <w:rPr>
          <w:rStyle w:val="CharacterStyle4"/>
          <w:b/>
          <w:spacing w:val="2"/>
          <w:w w:val="105"/>
          <w:sz w:val="24"/>
          <w:lang w:val="es-ES" w:eastAsia="es-ES"/>
        </w:rPr>
        <w:t>Juez</w:t>
      </w:r>
      <w:r w:rsidRPr="00830B52">
        <w:rPr>
          <w:rStyle w:val="CharacterStyle4"/>
          <w:b/>
          <w:spacing w:val="2"/>
          <w:w w:val="105"/>
          <w:sz w:val="24"/>
          <w:lang w:val="es-ES" w:eastAsia="es-ES"/>
        </w:rPr>
        <w:tab/>
      </w:r>
      <w:r w:rsidRPr="00830B52">
        <w:rPr>
          <w:rStyle w:val="CharacterStyle4"/>
          <w:b/>
          <w:spacing w:val="2"/>
          <w:w w:val="105"/>
          <w:sz w:val="24"/>
          <w:lang w:val="es-ES" w:eastAsia="es-ES"/>
        </w:rPr>
        <w:tab/>
      </w:r>
      <w:r w:rsidRPr="00830B52">
        <w:rPr>
          <w:rStyle w:val="CharacterStyle4"/>
          <w:b/>
          <w:spacing w:val="2"/>
          <w:w w:val="105"/>
          <w:sz w:val="24"/>
          <w:lang w:val="es-ES" w:eastAsia="es-ES"/>
        </w:rPr>
        <w:tab/>
      </w:r>
      <w:r w:rsidRPr="00830B52">
        <w:rPr>
          <w:rStyle w:val="CharacterStyle4"/>
          <w:b/>
          <w:spacing w:val="2"/>
          <w:w w:val="105"/>
          <w:sz w:val="24"/>
          <w:lang w:val="es-ES" w:eastAsia="es-ES"/>
        </w:rPr>
        <w:tab/>
      </w:r>
      <w:r w:rsidRPr="00830B52">
        <w:rPr>
          <w:rStyle w:val="CharacterStyle4"/>
          <w:b/>
          <w:spacing w:val="2"/>
          <w:w w:val="105"/>
          <w:sz w:val="24"/>
          <w:lang w:val="es-ES" w:eastAsia="es-ES"/>
        </w:rPr>
        <w:tab/>
        <w:t xml:space="preserve">                  Juez</w:t>
      </w:r>
    </w:p>
    <w:p w:rsidR="00727691" w:rsidRDefault="00727691" w:rsidP="00727691">
      <w:pPr>
        <w:kinsoku w:val="0"/>
        <w:overflowPunct w:val="0"/>
        <w:autoSpaceDE/>
        <w:autoSpaceDN/>
        <w:adjustRightInd/>
        <w:spacing w:before="316" w:line="322" w:lineRule="exact"/>
        <w:jc w:val="both"/>
        <w:textAlignment w:val="baseline"/>
        <w:rPr>
          <w:rFonts w:ascii="Verdana" w:hAnsi="Verdana" w:cs="Verdana"/>
          <w:b/>
          <w:bCs/>
          <w:sz w:val="22"/>
          <w:szCs w:val="22"/>
          <w:lang w:val="es-ES" w:eastAsia="es-ES"/>
        </w:rPr>
      </w:pPr>
    </w:p>
    <w:p w:rsidR="00000000" w:rsidRDefault="00712799">
      <w:pPr>
        <w:tabs>
          <w:tab w:val="left" w:pos="5472"/>
        </w:tabs>
        <w:kinsoku w:val="0"/>
        <w:overflowPunct w:val="0"/>
        <w:autoSpaceDE/>
        <w:autoSpaceDN/>
        <w:adjustRightInd/>
        <w:spacing w:before="1308" w:line="266" w:lineRule="exact"/>
        <w:ind w:left="1872"/>
        <w:jc w:val="center"/>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ab/>
      </w:r>
    </w:p>
    <w:p w:rsidR="00000000" w:rsidRDefault="00712799">
      <w:pPr>
        <w:kinsoku w:val="0"/>
        <w:overflowPunct w:val="0"/>
        <w:autoSpaceDE/>
        <w:autoSpaceDN/>
        <w:adjustRightInd/>
        <w:spacing w:before="6127" w:line="288" w:lineRule="exact"/>
        <w:textAlignment w:val="baseline"/>
        <w:rPr>
          <w:sz w:val="24"/>
          <w:szCs w:val="24"/>
        </w:rPr>
      </w:pPr>
    </w:p>
    <w:p w:rsidR="00000000" w:rsidRDefault="00712799">
      <w:pPr>
        <w:widowControl/>
        <w:rPr>
          <w:sz w:val="24"/>
          <w:szCs w:val="24"/>
        </w:rPr>
        <w:sectPr w:rsidR="00000000" w:rsidSect="00727691">
          <w:pgSz w:w="12240" w:h="15840"/>
          <w:pgMar w:top="1340" w:right="1467" w:bottom="220" w:left="1994" w:header="720" w:footer="720" w:gutter="0"/>
          <w:cols w:space="720"/>
          <w:noEndnote/>
        </w:sectPr>
      </w:pPr>
    </w:p>
    <w:p w:rsidR="00712799" w:rsidRDefault="00712799" w:rsidP="00727691">
      <w:pPr>
        <w:tabs>
          <w:tab w:val="right" w:pos="2664"/>
        </w:tabs>
        <w:kinsoku w:val="0"/>
        <w:overflowPunct w:val="0"/>
        <w:autoSpaceDE/>
        <w:autoSpaceDN/>
        <w:adjustRightInd/>
        <w:spacing w:line="253" w:lineRule="exact"/>
        <w:textAlignment w:val="baseline"/>
        <w:rPr>
          <w:rFonts w:ascii="Verdana" w:hAnsi="Verdana" w:cs="Verdana"/>
          <w:sz w:val="22"/>
          <w:szCs w:val="22"/>
          <w:lang w:val="es-ES" w:eastAsia="es-ES"/>
        </w:rPr>
      </w:pPr>
    </w:p>
    <w:sectPr w:rsidR="00712799">
      <w:type w:val="continuous"/>
      <w:pgSz w:w="12240" w:h="15840"/>
      <w:pgMar w:top="1340" w:right="2221" w:bottom="220" w:left="731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0791"/>
    <w:multiLevelType w:val="singleLevel"/>
    <w:tmpl w:val="5A8085B8"/>
    <w:lvl w:ilvl="0">
      <w:start w:val="1"/>
      <w:numFmt w:val="upperRoman"/>
      <w:lvlText w:val="%1.-"/>
      <w:lvlJc w:val="left"/>
      <w:pPr>
        <w:tabs>
          <w:tab w:val="num" w:pos="576"/>
        </w:tabs>
      </w:pPr>
      <w:rPr>
        <w:rFonts w:ascii="Verdana" w:hAnsi="Verdana" w:cs="Verdana"/>
        <w:snapToGrid/>
        <w:sz w:val="22"/>
        <w:szCs w:val="22"/>
      </w:rPr>
    </w:lvl>
  </w:abstractNum>
  <w:num w:numId="1">
    <w:abstractNumId w:val="0"/>
  </w:num>
  <w:num w:numId="2">
    <w:abstractNumId w:val="0"/>
    <w:lvlOverride w:ilvl="0">
      <w:lvl w:ilvl="0">
        <w:numFmt w:val="upperRoman"/>
        <w:lvlText w:val="%1.-"/>
        <w:lvlJc w:val="left"/>
        <w:pPr>
          <w:tabs>
            <w:tab w:val="num" w:pos="720"/>
          </w:tabs>
        </w:pPr>
        <w:rPr>
          <w:rFonts w:ascii="Verdana" w:hAnsi="Verdana" w:cs="Verdana"/>
          <w:snapToGrid/>
          <w:sz w:val="22"/>
          <w:szCs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4773E9"/>
    <w:rsid w:val="004773E9"/>
    <w:rsid w:val="00712799"/>
    <w:rsid w:val="00727691"/>
    <w:rsid w:val="00744AC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727691"/>
    <w:rPr>
      <w:rFonts w:eastAsia="Times New Roman"/>
      <w:sz w:val="21"/>
      <w:szCs w:val="21"/>
    </w:rPr>
  </w:style>
  <w:style w:type="character" w:customStyle="1" w:styleId="CharacterStyle4">
    <w:name w:val="Character Style 4"/>
    <w:uiPriority w:val="99"/>
    <w:rsid w:val="00727691"/>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1637</Words>
  <Characters>9008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2015-11-09T16:23:00Z</dcterms:created>
  <dcterms:modified xsi:type="dcterms:W3CDTF">2015-11-09T16:23:00Z</dcterms:modified>
</cp:coreProperties>
</file>